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B1EB0" w14:textId="77777777" w:rsidR="00303CC4" w:rsidRPr="00E17560" w:rsidRDefault="00E933D6" w:rsidP="005B5E22">
      <w:pPr>
        <w:widowControl/>
        <w:pBdr>
          <w:bottom w:val="thickThinSmallGap" w:sz="24" w:space="0" w:color="auto"/>
        </w:pBdr>
        <w:autoSpaceDE w:val="0"/>
        <w:autoSpaceDN w:val="0"/>
        <w:spacing w:line="0" w:lineRule="atLeast"/>
        <w:jc w:val="center"/>
        <w:textAlignment w:val="bottom"/>
        <w:rPr>
          <w:rFonts w:eastAsia="標楷體"/>
          <w:color w:val="000000"/>
          <w:sz w:val="36"/>
        </w:rPr>
      </w:pPr>
      <w:r w:rsidRPr="00E17560">
        <w:rPr>
          <w:rFonts w:eastAsia="標楷體"/>
          <w:color w:val="000000"/>
          <w:sz w:val="36"/>
        </w:rPr>
        <w:t>國立陽明交通大學土木工程學系「中興工程顧問社</w:t>
      </w:r>
    </w:p>
    <w:p w14:paraId="28252180" w14:textId="2BA9E73A" w:rsidR="00E933D6" w:rsidRDefault="00E933D6" w:rsidP="005B5E22">
      <w:pPr>
        <w:widowControl/>
        <w:pBdr>
          <w:bottom w:val="thickThinSmallGap" w:sz="24" w:space="0" w:color="auto"/>
        </w:pBdr>
        <w:autoSpaceDE w:val="0"/>
        <w:autoSpaceDN w:val="0"/>
        <w:adjustRightInd w:val="0"/>
        <w:snapToGrid w:val="0"/>
        <w:spacing w:line="0" w:lineRule="atLeast"/>
        <w:jc w:val="center"/>
        <w:textAlignment w:val="bottom"/>
        <w:rPr>
          <w:rFonts w:eastAsia="標楷體"/>
          <w:color w:val="000000"/>
          <w:sz w:val="36"/>
        </w:rPr>
      </w:pPr>
      <w:r w:rsidRPr="00E17560">
        <w:rPr>
          <w:rFonts w:eastAsia="標楷體"/>
          <w:color w:val="000000"/>
          <w:sz w:val="36"/>
        </w:rPr>
        <w:t>（</w:t>
      </w:r>
      <w:r w:rsidRPr="00E17560">
        <w:rPr>
          <w:rFonts w:eastAsia="標楷體"/>
          <w:color w:val="000000"/>
          <w:sz w:val="36"/>
          <w:shd w:val="clear" w:color="auto" w:fill="FFFFFF"/>
        </w:rPr>
        <w:t>優秀學生獎學金</w:t>
      </w:r>
      <w:r w:rsidRPr="00E17560">
        <w:rPr>
          <w:rFonts w:eastAsia="標楷體"/>
          <w:color w:val="000000"/>
          <w:sz w:val="36"/>
        </w:rPr>
        <w:t>）」遴選辦法</w:t>
      </w:r>
    </w:p>
    <w:p w14:paraId="3018789C" w14:textId="26CC5254" w:rsidR="00C57C4B" w:rsidRPr="008114F8" w:rsidRDefault="00C57C4B" w:rsidP="005B5E22">
      <w:pPr>
        <w:widowControl/>
        <w:pBdr>
          <w:bottom w:val="thickThinSmallGap" w:sz="24" w:space="0" w:color="auto"/>
        </w:pBdr>
        <w:autoSpaceDE w:val="0"/>
        <w:autoSpaceDN w:val="0"/>
        <w:adjustRightInd w:val="0"/>
        <w:snapToGrid w:val="0"/>
        <w:spacing w:line="0" w:lineRule="atLeast"/>
        <w:jc w:val="center"/>
        <w:textAlignment w:val="bottom"/>
        <w:rPr>
          <w:rFonts w:eastAsia="標楷體"/>
          <w:color w:val="000000" w:themeColor="text1"/>
          <w:sz w:val="36"/>
        </w:rPr>
      </w:pPr>
      <w:r w:rsidRPr="008114F8">
        <w:rPr>
          <w:rFonts w:eastAsia="標楷體" w:hint="eastAsia"/>
          <w:color w:val="000000" w:themeColor="text1"/>
          <w:sz w:val="36"/>
        </w:rPr>
        <w:t>D</w:t>
      </w:r>
      <w:r w:rsidRPr="008114F8">
        <w:rPr>
          <w:rFonts w:eastAsia="標楷體"/>
          <w:color w:val="000000" w:themeColor="text1"/>
          <w:sz w:val="36"/>
        </w:rPr>
        <w:t xml:space="preserve">epartment of Civil </w:t>
      </w:r>
      <w:r w:rsidR="008114F8" w:rsidRPr="008114F8">
        <w:rPr>
          <w:rFonts w:eastAsia="標楷體"/>
          <w:color w:val="000000" w:themeColor="text1"/>
          <w:sz w:val="36"/>
        </w:rPr>
        <w:t>Engineering</w:t>
      </w:r>
    </w:p>
    <w:p w14:paraId="76B8BC32" w14:textId="77777777" w:rsidR="00E17560" w:rsidRPr="008114F8" w:rsidRDefault="00206AB7" w:rsidP="006D64BB">
      <w:pPr>
        <w:widowControl/>
        <w:pBdr>
          <w:bottom w:val="thickThinSmallGap" w:sz="24" w:space="0" w:color="auto"/>
        </w:pBdr>
        <w:autoSpaceDE w:val="0"/>
        <w:autoSpaceDN w:val="0"/>
        <w:spacing w:line="0" w:lineRule="atLeast"/>
        <w:jc w:val="center"/>
        <w:textAlignment w:val="bottom"/>
        <w:rPr>
          <w:rFonts w:eastAsia="標楷體"/>
          <w:color w:val="000000" w:themeColor="text1"/>
          <w:sz w:val="36"/>
        </w:rPr>
      </w:pPr>
      <w:r w:rsidRPr="008114F8">
        <w:rPr>
          <w:rFonts w:eastAsia="標楷體"/>
          <w:color w:val="000000" w:themeColor="text1"/>
          <w:sz w:val="36"/>
        </w:rPr>
        <w:t xml:space="preserve">National Yang Ming Chiao Tung University </w:t>
      </w:r>
    </w:p>
    <w:p w14:paraId="2CEC1BDF" w14:textId="77777777" w:rsidR="00C57C4B" w:rsidRPr="008114F8" w:rsidRDefault="00206AB7" w:rsidP="006D64BB">
      <w:pPr>
        <w:widowControl/>
        <w:pBdr>
          <w:bottom w:val="thickThinSmallGap" w:sz="24" w:space="0" w:color="auto"/>
        </w:pBdr>
        <w:autoSpaceDE w:val="0"/>
        <w:autoSpaceDN w:val="0"/>
        <w:spacing w:line="0" w:lineRule="atLeast"/>
        <w:jc w:val="center"/>
        <w:textAlignment w:val="bottom"/>
        <w:rPr>
          <w:rFonts w:eastAsia="標楷體"/>
          <w:color w:val="000000" w:themeColor="text1"/>
          <w:sz w:val="36"/>
        </w:rPr>
      </w:pPr>
      <w:r w:rsidRPr="008114F8">
        <w:rPr>
          <w:rFonts w:eastAsia="標楷體"/>
          <w:color w:val="000000" w:themeColor="text1"/>
          <w:sz w:val="36"/>
        </w:rPr>
        <w:t>“Sinotech Engineering Consultants, Inc.</w:t>
      </w:r>
    </w:p>
    <w:p w14:paraId="443CEE9B" w14:textId="77E1CFC1" w:rsidR="00206AB7" w:rsidRPr="008114F8" w:rsidRDefault="006D64BB" w:rsidP="006D64BB">
      <w:pPr>
        <w:widowControl/>
        <w:pBdr>
          <w:bottom w:val="thickThinSmallGap" w:sz="24" w:space="0" w:color="auto"/>
        </w:pBdr>
        <w:autoSpaceDE w:val="0"/>
        <w:autoSpaceDN w:val="0"/>
        <w:spacing w:line="0" w:lineRule="atLeast"/>
        <w:jc w:val="center"/>
        <w:textAlignment w:val="bottom"/>
        <w:rPr>
          <w:rFonts w:eastAsia="標楷體"/>
          <w:color w:val="000000" w:themeColor="text1"/>
          <w:sz w:val="36"/>
        </w:rPr>
      </w:pPr>
      <w:r w:rsidRPr="008114F8">
        <w:rPr>
          <w:rFonts w:eastAsia="標楷體"/>
          <w:color w:val="000000" w:themeColor="text1"/>
          <w:sz w:val="36"/>
        </w:rPr>
        <w:t xml:space="preserve"> (</w:t>
      </w:r>
      <w:r w:rsidRPr="008114F8">
        <w:rPr>
          <w:rFonts w:eastAsia="標楷體"/>
          <w:color w:val="000000" w:themeColor="text1"/>
          <w:sz w:val="36"/>
          <w:shd w:val="clear" w:color="auto" w:fill="FFFFFF"/>
        </w:rPr>
        <w:t>Outstanding Student Scholarship</w:t>
      </w:r>
      <w:r w:rsidRPr="008114F8">
        <w:rPr>
          <w:rFonts w:eastAsia="標楷體"/>
          <w:color w:val="000000" w:themeColor="text1"/>
          <w:sz w:val="36"/>
        </w:rPr>
        <w:t>)</w:t>
      </w:r>
      <w:r w:rsidR="00206AB7" w:rsidRPr="008114F8">
        <w:rPr>
          <w:rFonts w:eastAsia="標楷體"/>
          <w:color w:val="000000" w:themeColor="text1"/>
          <w:sz w:val="36"/>
        </w:rPr>
        <w:t>” Selection Regulations</w:t>
      </w:r>
    </w:p>
    <w:p w14:paraId="709A8726" w14:textId="77777777" w:rsidR="004A482A" w:rsidRPr="008114F8" w:rsidRDefault="00DB73DD" w:rsidP="00D17A7A">
      <w:pPr>
        <w:widowControl/>
        <w:autoSpaceDE w:val="0"/>
        <w:autoSpaceDN w:val="0"/>
        <w:adjustRightInd w:val="0"/>
        <w:snapToGrid w:val="0"/>
        <w:spacing w:line="0" w:lineRule="atLeast"/>
        <w:jc w:val="right"/>
        <w:textAlignment w:val="bottom"/>
        <w:rPr>
          <w:rFonts w:eastAsia="標楷體"/>
          <w:color w:val="000000" w:themeColor="text1"/>
          <w:sz w:val="20"/>
        </w:rPr>
      </w:pPr>
      <w:r w:rsidRPr="008114F8">
        <w:rPr>
          <w:rFonts w:eastAsia="標楷體"/>
          <w:color w:val="000000" w:themeColor="text1"/>
          <w:sz w:val="20"/>
        </w:rPr>
        <w:t>2021</w:t>
      </w:r>
      <w:r w:rsidRPr="008114F8">
        <w:rPr>
          <w:rFonts w:eastAsia="標楷體"/>
          <w:color w:val="000000" w:themeColor="text1"/>
          <w:sz w:val="20"/>
        </w:rPr>
        <w:t>年</w:t>
      </w:r>
      <w:r w:rsidRPr="008114F8">
        <w:rPr>
          <w:rFonts w:eastAsia="標楷體"/>
          <w:color w:val="000000" w:themeColor="text1"/>
          <w:sz w:val="20"/>
        </w:rPr>
        <w:t>11</w:t>
      </w:r>
      <w:r w:rsidRPr="008114F8">
        <w:rPr>
          <w:rFonts w:eastAsia="標楷體"/>
          <w:color w:val="000000" w:themeColor="text1"/>
          <w:sz w:val="20"/>
        </w:rPr>
        <w:t>月</w:t>
      </w:r>
      <w:r w:rsidRPr="008114F8">
        <w:rPr>
          <w:rFonts w:eastAsia="標楷體"/>
          <w:color w:val="000000" w:themeColor="text1"/>
          <w:sz w:val="20"/>
        </w:rPr>
        <w:t>17</w:t>
      </w:r>
      <w:r w:rsidRPr="008114F8">
        <w:rPr>
          <w:rFonts w:eastAsia="標楷體"/>
          <w:color w:val="000000" w:themeColor="text1"/>
          <w:sz w:val="20"/>
        </w:rPr>
        <w:t>日</w:t>
      </w:r>
      <w:r w:rsidRPr="008114F8">
        <w:rPr>
          <w:rFonts w:eastAsia="標楷體"/>
          <w:color w:val="000000" w:themeColor="text1"/>
          <w:sz w:val="20"/>
        </w:rPr>
        <w:t>110</w:t>
      </w:r>
      <w:r w:rsidRPr="008114F8">
        <w:rPr>
          <w:rFonts w:eastAsia="標楷體"/>
          <w:color w:val="000000" w:themeColor="text1"/>
          <w:sz w:val="20"/>
        </w:rPr>
        <w:t>學年度第</w:t>
      </w:r>
      <w:r w:rsidRPr="008114F8">
        <w:rPr>
          <w:rFonts w:eastAsia="標楷體"/>
          <w:color w:val="000000" w:themeColor="text1"/>
          <w:sz w:val="20"/>
        </w:rPr>
        <w:t>1</w:t>
      </w:r>
      <w:r w:rsidRPr="008114F8">
        <w:rPr>
          <w:rFonts w:eastAsia="標楷體"/>
          <w:color w:val="000000" w:themeColor="text1"/>
          <w:sz w:val="20"/>
        </w:rPr>
        <w:t>學期第</w:t>
      </w:r>
      <w:r w:rsidRPr="008114F8">
        <w:rPr>
          <w:rFonts w:eastAsia="標楷體"/>
          <w:color w:val="000000" w:themeColor="text1"/>
          <w:sz w:val="20"/>
        </w:rPr>
        <w:t>3</w:t>
      </w:r>
      <w:r w:rsidRPr="008114F8">
        <w:rPr>
          <w:rFonts w:eastAsia="標楷體"/>
          <w:color w:val="000000" w:themeColor="text1"/>
          <w:sz w:val="20"/>
        </w:rPr>
        <w:t>次系務會議通過</w:t>
      </w:r>
    </w:p>
    <w:p w14:paraId="733FAAA6" w14:textId="166A75CD" w:rsidR="00206AB7" w:rsidRPr="008114F8" w:rsidRDefault="00D17A7A" w:rsidP="00D17A7A">
      <w:pPr>
        <w:widowControl/>
        <w:autoSpaceDE w:val="0"/>
        <w:autoSpaceDN w:val="0"/>
        <w:adjustRightInd w:val="0"/>
        <w:snapToGrid w:val="0"/>
        <w:spacing w:line="0" w:lineRule="atLeast"/>
        <w:jc w:val="right"/>
        <w:textAlignment w:val="bottom"/>
        <w:rPr>
          <w:rFonts w:eastAsia="標楷體"/>
          <w:color w:val="000000" w:themeColor="text1"/>
          <w:sz w:val="20"/>
        </w:rPr>
      </w:pPr>
      <w:r w:rsidRPr="008114F8">
        <w:rPr>
          <w:rFonts w:eastAsia="標楷體"/>
          <w:color w:val="000000" w:themeColor="text1"/>
          <w:sz w:val="20"/>
        </w:rPr>
        <w:t>Passed by</w:t>
      </w:r>
      <w:r w:rsidR="00206AB7" w:rsidRPr="008114F8">
        <w:rPr>
          <w:rFonts w:eastAsia="標楷體"/>
          <w:color w:val="000000" w:themeColor="text1"/>
          <w:sz w:val="20"/>
        </w:rPr>
        <w:t xml:space="preserve"> the 3rd </w:t>
      </w:r>
      <w:r w:rsidRPr="008114F8">
        <w:rPr>
          <w:rFonts w:eastAsia="標楷體"/>
          <w:color w:val="000000" w:themeColor="text1"/>
          <w:sz w:val="20"/>
        </w:rPr>
        <w:t xml:space="preserve">Session of </w:t>
      </w:r>
      <w:r w:rsidR="00206AB7" w:rsidRPr="008114F8">
        <w:rPr>
          <w:rFonts w:eastAsia="標楷體"/>
          <w:color w:val="000000" w:themeColor="text1"/>
          <w:sz w:val="20"/>
        </w:rPr>
        <w:t xml:space="preserve">Department Affairs </w:t>
      </w:r>
      <w:r w:rsidRPr="008114F8">
        <w:rPr>
          <w:rFonts w:eastAsia="標楷體"/>
          <w:color w:val="000000" w:themeColor="text1"/>
          <w:sz w:val="20"/>
        </w:rPr>
        <w:t>Meeting in</w:t>
      </w:r>
      <w:r w:rsidR="00206AB7" w:rsidRPr="008114F8">
        <w:rPr>
          <w:rFonts w:eastAsia="標楷體"/>
          <w:color w:val="000000" w:themeColor="text1"/>
          <w:sz w:val="20"/>
        </w:rPr>
        <w:t xml:space="preserve"> the 1st Semester of Academic Year 2021 </w:t>
      </w:r>
      <w:r w:rsidRPr="008114F8">
        <w:rPr>
          <w:rFonts w:eastAsia="標楷體"/>
          <w:color w:val="000000" w:themeColor="text1"/>
          <w:sz w:val="20"/>
        </w:rPr>
        <w:t>dated 2021/11/17</w:t>
      </w:r>
    </w:p>
    <w:p w14:paraId="0D35FF16" w14:textId="77777777" w:rsidR="00D17A7A" w:rsidRPr="008114F8" w:rsidRDefault="00D17A7A" w:rsidP="00D17A7A">
      <w:pPr>
        <w:widowControl/>
        <w:autoSpaceDE w:val="0"/>
        <w:autoSpaceDN w:val="0"/>
        <w:adjustRightInd w:val="0"/>
        <w:snapToGrid w:val="0"/>
        <w:spacing w:before="100" w:beforeAutospacing="1" w:line="0" w:lineRule="atLeast"/>
        <w:jc w:val="right"/>
        <w:textAlignment w:val="bottom"/>
        <w:rPr>
          <w:rFonts w:eastAsia="標楷體"/>
          <w:color w:val="000000" w:themeColor="text1"/>
          <w:sz w:val="20"/>
        </w:rPr>
      </w:pPr>
    </w:p>
    <w:p w14:paraId="6C82873B" w14:textId="77777777" w:rsidR="00E933D6" w:rsidRPr="00E17560" w:rsidRDefault="00E933D6" w:rsidP="00D17A7A">
      <w:pPr>
        <w:pStyle w:val="ab"/>
        <w:widowControl/>
        <w:numPr>
          <w:ilvl w:val="0"/>
          <w:numId w:val="4"/>
        </w:numPr>
        <w:autoSpaceDE w:val="0"/>
        <w:autoSpaceDN w:val="0"/>
        <w:spacing w:before="100" w:beforeAutospacing="1" w:line="0" w:lineRule="atLeast"/>
        <w:ind w:leftChars="0" w:left="567" w:hanging="567"/>
        <w:jc w:val="both"/>
        <w:textAlignment w:val="bottom"/>
        <w:rPr>
          <w:rFonts w:eastAsia="標楷體"/>
          <w:color w:val="000000"/>
          <w:szCs w:val="24"/>
        </w:rPr>
      </w:pPr>
      <w:r w:rsidRPr="00E17560">
        <w:rPr>
          <w:rFonts w:eastAsia="標楷體"/>
          <w:color w:val="000000"/>
        </w:rPr>
        <w:t>中興工程顧問社（以下簡稱中興社）為獎掖從事</w:t>
      </w:r>
      <w:bookmarkStart w:id="0" w:name="_GoBack"/>
      <w:bookmarkEnd w:id="0"/>
      <w:r w:rsidRPr="00E17560">
        <w:rPr>
          <w:rFonts w:eastAsia="標楷體"/>
          <w:color w:val="000000"/>
        </w:rPr>
        <w:t>土木工程學術研究之優秀青年</w:t>
      </w:r>
      <w:r w:rsidRPr="00E17560">
        <w:rPr>
          <w:rFonts w:eastAsia="標楷體"/>
          <w:color w:val="000000"/>
          <w:shd w:val="clear" w:color="auto" w:fill="FFFFFF"/>
        </w:rPr>
        <w:t>學子</w:t>
      </w:r>
      <w:r w:rsidRPr="00E17560">
        <w:rPr>
          <w:rFonts w:eastAsia="標楷體"/>
          <w:color w:val="000000"/>
        </w:rPr>
        <w:t>，特在國立交通大學土木工程學系（以下簡稱本系）設置「中興工程顧問社優秀學生獎學金」。</w:t>
      </w:r>
    </w:p>
    <w:p w14:paraId="668AD60C" w14:textId="77777777" w:rsidR="00206AB7" w:rsidRPr="00E17560" w:rsidRDefault="00206AB7" w:rsidP="005B5E22">
      <w:pPr>
        <w:pStyle w:val="ab"/>
        <w:widowControl/>
        <w:autoSpaceDE w:val="0"/>
        <w:autoSpaceDN w:val="0"/>
        <w:spacing w:line="0" w:lineRule="atLeast"/>
        <w:ind w:leftChars="0" w:left="567"/>
        <w:jc w:val="both"/>
        <w:textAlignment w:val="bottom"/>
        <w:rPr>
          <w:rFonts w:eastAsia="標楷體"/>
          <w:color w:val="000000"/>
          <w:szCs w:val="24"/>
        </w:rPr>
      </w:pPr>
      <w:r w:rsidRPr="00E17560">
        <w:rPr>
          <w:rFonts w:eastAsia="標楷體"/>
          <w:color w:val="000000"/>
        </w:rPr>
        <w:t xml:space="preserve">In order to encourage outstanding </w:t>
      </w:r>
      <w:r w:rsidRPr="00E17560">
        <w:rPr>
          <w:rFonts w:eastAsia="標楷體"/>
          <w:color w:val="000000"/>
          <w:shd w:val="clear" w:color="auto" w:fill="FFFFFF"/>
        </w:rPr>
        <w:t>youth</w:t>
      </w:r>
      <w:r w:rsidRPr="00E17560">
        <w:rPr>
          <w:rFonts w:eastAsia="標楷體"/>
          <w:color w:val="000000"/>
        </w:rPr>
        <w:t xml:space="preserve"> engaged in academic research of civil engineering, Sinotech Engineering Consultants, Inc. (“Sinotech”) hereby offers the “Sinotech Engineering Consultants, Inc. Outstanding Student Scholarship” to NYCU Department of Civil Engineering (hereinafter referred to as the “Department”).</w:t>
      </w:r>
    </w:p>
    <w:p w14:paraId="77426EAF" w14:textId="77777777" w:rsidR="00F14FF7" w:rsidRPr="00E17560" w:rsidRDefault="00F14FF7" w:rsidP="005B5E22">
      <w:pPr>
        <w:widowControl/>
        <w:autoSpaceDE w:val="0"/>
        <w:autoSpaceDN w:val="0"/>
        <w:spacing w:line="0" w:lineRule="atLeast"/>
        <w:jc w:val="both"/>
        <w:textAlignment w:val="bottom"/>
        <w:rPr>
          <w:rFonts w:eastAsia="標楷體"/>
          <w:color w:val="000000"/>
          <w:szCs w:val="24"/>
        </w:rPr>
      </w:pPr>
    </w:p>
    <w:p w14:paraId="4A9D3818" w14:textId="77777777" w:rsidR="00E933D6" w:rsidRPr="00E17560" w:rsidRDefault="00E933D6" w:rsidP="005B5E22">
      <w:pPr>
        <w:pStyle w:val="ab"/>
        <w:widowControl/>
        <w:numPr>
          <w:ilvl w:val="0"/>
          <w:numId w:val="4"/>
        </w:numPr>
        <w:autoSpaceDE w:val="0"/>
        <w:autoSpaceDN w:val="0"/>
        <w:spacing w:line="0" w:lineRule="atLeast"/>
        <w:ind w:leftChars="0" w:left="567" w:hanging="567"/>
        <w:jc w:val="both"/>
        <w:textAlignment w:val="bottom"/>
        <w:rPr>
          <w:rFonts w:eastAsia="標楷體"/>
          <w:color w:val="000000"/>
          <w:szCs w:val="24"/>
        </w:rPr>
      </w:pPr>
      <w:r w:rsidRPr="00E17560">
        <w:rPr>
          <w:rFonts w:eastAsia="標楷體"/>
          <w:color w:val="000000"/>
        </w:rPr>
        <w:t>本獎學金之審查與評審由本系系務委員會辦理。</w:t>
      </w:r>
    </w:p>
    <w:p w14:paraId="0C7DC8C3" w14:textId="77777777" w:rsidR="00206AB7" w:rsidRPr="00E17560" w:rsidRDefault="00206AB7" w:rsidP="005B5E22">
      <w:pPr>
        <w:pStyle w:val="ab"/>
        <w:widowControl/>
        <w:autoSpaceDE w:val="0"/>
        <w:autoSpaceDN w:val="0"/>
        <w:spacing w:line="0" w:lineRule="atLeast"/>
        <w:ind w:leftChars="0" w:left="567"/>
        <w:jc w:val="both"/>
        <w:textAlignment w:val="bottom"/>
        <w:rPr>
          <w:rFonts w:eastAsia="標楷體"/>
          <w:color w:val="000000"/>
          <w:szCs w:val="24"/>
        </w:rPr>
      </w:pPr>
      <w:r w:rsidRPr="00E17560">
        <w:rPr>
          <w:rFonts w:eastAsia="標楷體"/>
          <w:color w:val="000000"/>
        </w:rPr>
        <w:t>The scholarship is subject to review and evaluation by the Department Affairs Committee.</w:t>
      </w:r>
    </w:p>
    <w:p w14:paraId="508BA4B9" w14:textId="77777777" w:rsidR="00F14FF7" w:rsidRPr="00E17560" w:rsidRDefault="00F14FF7" w:rsidP="005B5E22">
      <w:pPr>
        <w:widowControl/>
        <w:autoSpaceDE w:val="0"/>
        <w:autoSpaceDN w:val="0"/>
        <w:spacing w:line="0" w:lineRule="atLeast"/>
        <w:jc w:val="both"/>
        <w:textAlignment w:val="bottom"/>
        <w:rPr>
          <w:rFonts w:eastAsia="標楷體"/>
          <w:color w:val="000000"/>
          <w:szCs w:val="24"/>
        </w:rPr>
      </w:pPr>
    </w:p>
    <w:p w14:paraId="183B3CC7" w14:textId="77777777" w:rsidR="00E933D6" w:rsidRPr="00E17560" w:rsidRDefault="00E933D6" w:rsidP="005B5E22">
      <w:pPr>
        <w:pStyle w:val="2"/>
        <w:numPr>
          <w:ilvl w:val="0"/>
          <w:numId w:val="4"/>
        </w:numPr>
        <w:spacing w:before="0" w:after="0" w:line="0" w:lineRule="atLeast"/>
        <w:ind w:left="567" w:hanging="567"/>
        <w:rPr>
          <w:rFonts w:ascii="Times New Roman"/>
          <w:color w:val="000000"/>
          <w:sz w:val="24"/>
          <w:szCs w:val="24"/>
        </w:rPr>
      </w:pPr>
      <w:r w:rsidRPr="00E17560">
        <w:rPr>
          <w:rFonts w:ascii="Times New Roman"/>
          <w:color w:val="000000"/>
          <w:sz w:val="24"/>
        </w:rPr>
        <w:t>本獎學金頒發給碩士班二年級學生。</w:t>
      </w:r>
    </w:p>
    <w:p w14:paraId="33976387" w14:textId="77777777" w:rsidR="00206AB7" w:rsidRPr="00E17560" w:rsidRDefault="00206AB7" w:rsidP="005B5E22">
      <w:pPr>
        <w:pStyle w:val="2"/>
        <w:spacing w:before="0" w:after="0" w:line="0" w:lineRule="atLeast"/>
        <w:ind w:left="567" w:firstLine="0"/>
        <w:rPr>
          <w:rFonts w:ascii="Times New Roman"/>
          <w:color w:val="000000"/>
          <w:sz w:val="24"/>
          <w:szCs w:val="24"/>
        </w:rPr>
      </w:pPr>
      <w:r w:rsidRPr="00E17560">
        <w:rPr>
          <w:rFonts w:ascii="Times New Roman"/>
          <w:color w:val="000000"/>
          <w:sz w:val="24"/>
        </w:rPr>
        <w:t>The target awardees of the scholarship refer to 2nd year master program students.</w:t>
      </w:r>
    </w:p>
    <w:p w14:paraId="51D20596" w14:textId="77777777" w:rsidR="00F14FF7" w:rsidRPr="00E17560" w:rsidRDefault="00F14FF7" w:rsidP="005B5E22">
      <w:pPr>
        <w:pStyle w:val="2"/>
        <w:spacing w:before="0" w:after="0" w:line="0" w:lineRule="atLeast"/>
        <w:ind w:left="0" w:firstLine="0"/>
        <w:rPr>
          <w:rFonts w:ascii="Times New Roman"/>
          <w:color w:val="000000"/>
          <w:sz w:val="24"/>
          <w:szCs w:val="24"/>
        </w:rPr>
      </w:pPr>
    </w:p>
    <w:p w14:paraId="012D39A4" w14:textId="77777777" w:rsidR="00E933D6" w:rsidRPr="00E17560" w:rsidRDefault="00E933D6" w:rsidP="005B5E22">
      <w:pPr>
        <w:pStyle w:val="2"/>
        <w:numPr>
          <w:ilvl w:val="0"/>
          <w:numId w:val="4"/>
        </w:numPr>
        <w:spacing w:before="0" w:after="0" w:line="0" w:lineRule="atLeast"/>
        <w:ind w:left="567" w:hanging="567"/>
        <w:rPr>
          <w:rFonts w:ascii="Times New Roman"/>
          <w:color w:val="000000"/>
          <w:sz w:val="24"/>
          <w:szCs w:val="24"/>
        </w:rPr>
      </w:pPr>
      <w:r w:rsidRPr="00E17560">
        <w:rPr>
          <w:rFonts w:ascii="Times New Roman"/>
          <w:color w:val="000000"/>
          <w:sz w:val="24"/>
        </w:rPr>
        <w:t>本獎學金名額及金額依當年度中興社工程研究獎學金名額及金額而定，並依中興社給獎方式發給。</w:t>
      </w:r>
    </w:p>
    <w:p w14:paraId="3F08FC81" w14:textId="77777777" w:rsidR="00206AB7" w:rsidRPr="00E17560" w:rsidRDefault="00206AB7" w:rsidP="005B5E22">
      <w:pPr>
        <w:pStyle w:val="2"/>
        <w:spacing w:before="0" w:after="0" w:line="0" w:lineRule="atLeast"/>
        <w:ind w:left="567" w:firstLine="0"/>
        <w:rPr>
          <w:rFonts w:ascii="Times New Roman"/>
          <w:color w:val="000000"/>
          <w:sz w:val="24"/>
          <w:szCs w:val="24"/>
        </w:rPr>
      </w:pPr>
      <w:r w:rsidRPr="00E17560">
        <w:rPr>
          <w:rFonts w:ascii="Times New Roman"/>
          <w:color w:val="000000"/>
          <w:sz w:val="24"/>
        </w:rPr>
        <w:t>The quota and amount of the scholarship are decided depending on the number and amount of research scholarships granted by Sinotech in the current year. The scholarship shall be granted in the manner prescribed by Sinotech.</w:t>
      </w:r>
    </w:p>
    <w:p w14:paraId="56CBB5FB" w14:textId="77777777" w:rsidR="00F14FF7" w:rsidRPr="00E17560" w:rsidRDefault="00F14FF7" w:rsidP="005B5E22">
      <w:pPr>
        <w:pStyle w:val="2"/>
        <w:spacing w:before="0" w:after="0" w:line="0" w:lineRule="atLeast"/>
        <w:ind w:left="0" w:firstLine="0"/>
        <w:rPr>
          <w:rFonts w:ascii="Times New Roman"/>
          <w:color w:val="000000"/>
          <w:sz w:val="24"/>
          <w:szCs w:val="24"/>
        </w:rPr>
      </w:pPr>
    </w:p>
    <w:p w14:paraId="601150AC" w14:textId="77777777" w:rsidR="00E933D6" w:rsidRPr="00E17560" w:rsidRDefault="00E933D6" w:rsidP="005B5E22">
      <w:pPr>
        <w:pStyle w:val="2"/>
        <w:numPr>
          <w:ilvl w:val="0"/>
          <w:numId w:val="4"/>
        </w:numPr>
        <w:spacing w:before="0" w:after="0" w:line="0" w:lineRule="atLeast"/>
        <w:ind w:left="567" w:hanging="567"/>
        <w:rPr>
          <w:rFonts w:ascii="Times New Roman"/>
          <w:color w:val="000000"/>
          <w:sz w:val="24"/>
          <w:szCs w:val="24"/>
        </w:rPr>
      </w:pPr>
      <w:r w:rsidRPr="00E17560">
        <w:rPr>
          <w:rFonts w:ascii="Times New Roman"/>
          <w:color w:val="000000"/>
          <w:sz w:val="24"/>
        </w:rPr>
        <w:t>申請辦法及相關規定：</w:t>
      </w:r>
    </w:p>
    <w:p w14:paraId="1350C54E" w14:textId="77777777" w:rsidR="00206AB7" w:rsidRPr="00E17560" w:rsidRDefault="00206AB7" w:rsidP="005B5E22">
      <w:pPr>
        <w:pStyle w:val="2"/>
        <w:spacing w:before="0" w:after="0" w:line="0" w:lineRule="atLeast"/>
        <w:ind w:left="567" w:firstLine="0"/>
        <w:rPr>
          <w:rFonts w:ascii="Times New Roman"/>
          <w:color w:val="000000"/>
          <w:sz w:val="24"/>
          <w:szCs w:val="24"/>
        </w:rPr>
      </w:pPr>
      <w:r w:rsidRPr="00E17560">
        <w:rPr>
          <w:rFonts w:ascii="Times New Roman"/>
          <w:color w:val="000000"/>
          <w:sz w:val="24"/>
        </w:rPr>
        <w:t>Application rules and related requirements:</w:t>
      </w:r>
    </w:p>
    <w:p w14:paraId="1CAE0D9E" w14:textId="77777777" w:rsidR="00E933D6" w:rsidRPr="00E17560" w:rsidRDefault="00E933D6" w:rsidP="00371357">
      <w:pPr>
        <w:pStyle w:val="2"/>
        <w:numPr>
          <w:ilvl w:val="0"/>
          <w:numId w:val="5"/>
        </w:numPr>
        <w:spacing w:before="0" w:after="0" w:line="0" w:lineRule="atLeast"/>
        <w:ind w:hanging="391"/>
        <w:rPr>
          <w:rFonts w:ascii="Times New Roman"/>
          <w:color w:val="000000"/>
          <w:sz w:val="24"/>
          <w:szCs w:val="24"/>
        </w:rPr>
      </w:pPr>
      <w:r w:rsidRPr="00E17560">
        <w:rPr>
          <w:rFonts w:ascii="Times New Roman"/>
          <w:color w:val="000000"/>
          <w:sz w:val="24"/>
        </w:rPr>
        <w:t>每學期公告之申請截止日期前，由申請人向本系系務委員會提出申請。</w:t>
      </w:r>
    </w:p>
    <w:p w14:paraId="5C4D166D" w14:textId="77777777" w:rsidR="00206AB7" w:rsidRPr="00E17560" w:rsidRDefault="00206AB7" w:rsidP="005B5E22">
      <w:pPr>
        <w:pStyle w:val="2"/>
        <w:spacing w:before="0" w:after="0" w:line="0" w:lineRule="atLeast"/>
        <w:ind w:left="958" w:firstLine="0"/>
        <w:rPr>
          <w:rFonts w:ascii="Times New Roman"/>
          <w:color w:val="000000"/>
          <w:sz w:val="24"/>
          <w:szCs w:val="24"/>
        </w:rPr>
      </w:pPr>
      <w:r w:rsidRPr="00E17560">
        <w:rPr>
          <w:rFonts w:ascii="Times New Roman"/>
          <w:color w:val="000000"/>
          <w:sz w:val="24"/>
        </w:rPr>
        <w:t>The applicant shall file an application with the Department Affairs Committee by the due date announced for each semester.</w:t>
      </w:r>
    </w:p>
    <w:p w14:paraId="14623E00" w14:textId="77777777" w:rsidR="00E933D6" w:rsidRPr="00E17560" w:rsidRDefault="00E933D6" w:rsidP="00371357">
      <w:pPr>
        <w:pStyle w:val="2"/>
        <w:numPr>
          <w:ilvl w:val="0"/>
          <w:numId w:val="5"/>
        </w:numPr>
        <w:spacing w:before="0" w:after="0" w:line="0" w:lineRule="atLeast"/>
        <w:ind w:hanging="391"/>
        <w:rPr>
          <w:rFonts w:ascii="Times New Roman"/>
          <w:color w:val="000000"/>
          <w:sz w:val="24"/>
          <w:szCs w:val="24"/>
        </w:rPr>
      </w:pPr>
      <w:r w:rsidRPr="00E17560">
        <w:rPr>
          <w:rFonts w:ascii="Times New Roman"/>
          <w:color w:val="000000"/>
          <w:sz w:val="24"/>
        </w:rPr>
        <w:t>申請人須檢附下列各項文件：</w:t>
      </w:r>
    </w:p>
    <w:p w14:paraId="17F136C8" w14:textId="77777777" w:rsidR="00206AB7" w:rsidRPr="00E17560" w:rsidRDefault="00206AB7" w:rsidP="005B5E22">
      <w:pPr>
        <w:pStyle w:val="2"/>
        <w:spacing w:before="0" w:after="0" w:line="0" w:lineRule="atLeast"/>
        <w:ind w:left="958" w:firstLine="0"/>
        <w:rPr>
          <w:rFonts w:ascii="Times New Roman"/>
          <w:color w:val="000000"/>
          <w:sz w:val="24"/>
          <w:szCs w:val="24"/>
        </w:rPr>
      </w:pPr>
      <w:r w:rsidRPr="00E17560">
        <w:rPr>
          <w:rFonts w:ascii="Times New Roman"/>
          <w:color w:val="000000"/>
          <w:sz w:val="24"/>
        </w:rPr>
        <w:t>The applicant must submit the following documents:</w:t>
      </w:r>
    </w:p>
    <w:p w14:paraId="1BCF53A7" w14:textId="77777777" w:rsidR="00E933D6" w:rsidRPr="00E17560" w:rsidRDefault="00E933D6" w:rsidP="005B5E22">
      <w:pPr>
        <w:pStyle w:val="2"/>
        <w:numPr>
          <w:ilvl w:val="0"/>
          <w:numId w:val="6"/>
        </w:numPr>
        <w:spacing w:before="0" w:after="0" w:line="0" w:lineRule="atLeast"/>
        <w:rPr>
          <w:rFonts w:ascii="Times New Roman"/>
          <w:color w:val="000000"/>
          <w:sz w:val="24"/>
          <w:szCs w:val="24"/>
        </w:rPr>
      </w:pPr>
      <w:r w:rsidRPr="00E17560">
        <w:rPr>
          <w:rFonts w:ascii="Times New Roman"/>
          <w:color w:val="000000"/>
          <w:sz w:val="24"/>
        </w:rPr>
        <w:t>研究計畫書一份。</w:t>
      </w:r>
    </w:p>
    <w:p w14:paraId="7BC8DB98" w14:textId="77777777" w:rsidR="00206AB7" w:rsidRPr="00E17560" w:rsidRDefault="00206AB7" w:rsidP="005B5E22">
      <w:pPr>
        <w:pStyle w:val="2"/>
        <w:spacing w:before="0" w:after="0" w:line="0" w:lineRule="atLeast"/>
        <w:ind w:left="1920" w:firstLine="0"/>
        <w:rPr>
          <w:rFonts w:ascii="Times New Roman"/>
          <w:color w:val="000000"/>
          <w:sz w:val="24"/>
          <w:szCs w:val="24"/>
        </w:rPr>
      </w:pPr>
      <w:r w:rsidRPr="00E17560">
        <w:rPr>
          <w:rFonts w:ascii="Times New Roman"/>
          <w:color w:val="000000"/>
          <w:sz w:val="24"/>
        </w:rPr>
        <w:t>One copy of research proposal.</w:t>
      </w:r>
    </w:p>
    <w:p w14:paraId="639D63AE" w14:textId="77777777" w:rsidR="00E933D6" w:rsidRPr="00E17560" w:rsidRDefault="00E933D6" w:rsidP="005B5E22">
      <w:pPr>
        <w:pStyle w:val="2"/>
        <w:numPr>
          <w:ilvl w:val="0"/>
          <w:numId w:val="6"/>
        </w:numPr>
        <w:spacing w:before="0" w:after="0" w:line="0" w:lineRule="atLeast"/>
        <w:rPr>
          <w:rFonts w:ascii="Times New Roman"/>
          <w:color w:val="000000"/>
          <w:sz w:val="24"/>
          <w:szCs w:val="24"/>
        </w:rPr>
      </w:pPr>
      <w:r w:rsidRPr="00E17560">
        <w:rPr>
          <w:rFonts w:ascii="Times New Roman"/>
          <w:color w:val="000000"/>
          <w:sz w:val="24"/>
        </w:rPr>
        <w:t>歷年著作。</w:t>
      </w:r>
    </w:p>
    <w:p w14:paraId="28060804" w14:textId="77777777" w:rsidR="00206AB7" w:rsidRPr="00E17560" w:rsidRDefault="00206AB7" w:rsidP="005B5E22">
      <w:pPr>
        <w:pStyle w:val="2"/>
        <w:spacing w:before="0" w:after="0" w:line="0" w:lineRule="atLeast"/>
        <w:ind w:left="1920" w:firstLine="0"/>
        <w:rPr>
          <w:rFonts w:ascii="Times New Roman"/>
          <w:color w:val="000000"/>
          <w:sz w:val="24"/>
          <w:szCs w:val="24"/>
        </w:rPr>
      </w:pPr>
      <w:r w:rsidRPr="00E17560">
        <w:rPr>
          <w:rFonts w:ascii="Times New Roman"/>
          <w:color w:val="000000"/>
          <w:sz w:val="24"/>
        </w:rPr>
        <w:t>Completed works.</w:t>
      </w:r>
    </w:p>
    <w:p w14:paraId="0A6E5A52" w14:textId="77777777" w:rsidR="00E933D6" w:rsidRPr="00E17560" w:rsidRDefault="00E933D6" w:rsidP="005B5E22">
      <w:pPr>
        <w:pStyle w:val="2"/>
        <w:numPr>
          <w:ilvl w:val="0"/>
          <w:numId w:val="6"/>
        </w:numPr>
        <w:spacing w:before="0" w:after="0" w:line="0" w:lineRule="atLeast"/>
        <w:rPr>
          <w:rFonts w:ascii="Times New Roman"/>
          <w:color w:val="000000"/>
          <w:sz w:val="24"/>
          <w:szCs w:val="24"/>
        </w:rPr>
      </w:pPr>
      <w:r w:rsidRPr="00E17560">
        <w:rPr>
          <w:rFonts w:ascii="Times New Roman"/>
          <w:color w:val="000000"/>
          <w:sz w:val="24"/>
        </w:rPr>
        <w:t>前學年成績一份。</w:t>
      </w:r>
    </w:p>
    <w:p w14:paraId="468BBF99" w14:textId="77777777" w:rsidR="00206AB7" w:rsidRPr="00E17560" w:rsidRDefault="00206AB7" w:rsidP="005B5E22">
      <w:pPr>
        <w:pStyle w:val="2"/>
        <w:spacing w:before="0" w:after="0" w:line="0" w:lineRule="atLeast"/>
        <w:ind w:left="1920" w:firstLine="0"/>
        <w:rPr>
          <w:rFonts w:ascii="Times New Roman"/>
          <w:color w:val="000000"/>
          <w:sz w:val="24"/>
          <w:szCs w:val="24"/>
        </w:rPr>
      </w:pPr>
      <w:r w:rsidRPr="00E17560">
        <w:rPr>
          <w:rFonts w:ascii="Times New Roman"/>
          <w:color w:val="000000"/>
          <w:sz w:val="24"/>
        </w:rPr>
        <w:t>One copy of the report card for the previous academic year.</w:t>
      </w:r>
    </w:p>
    <w:p w14:paraId="7A42392E" w14:textId="77777777" w:rsidR="00E933D6" w:rsidRPr="00E17560" w:rsidRDefault="00E933D6" w:rsidP="005B5E22">
      <w:pPr>
        <w:pStyle w:val="2"/>
        <w:numPr>
          <w:ilvl w:val="0"/>
          <w:numId w:val="6"/>
        </w:numPr>
        <w:spacing w:before="0" w:after="0" w:line="0" w:lineRule="atLeast"/>
        <w:rPr>
          <w:rFonts w:ascii="Times New Roman"/>
          <w:color w:val="000000"/>
          <w:sz w:val="24"/>
          <w:szCs w:val="24"/>
        </w:rPr>
      </w:pPr>
      <w:r w:rsidRPr="00E17560">
        <w:rPr>
          <w:rFonts w:ascii="Times New Roman"/>
          <w:color w:val="000000"/>
          <w:sz w:val="24"/>
        </w:rPr>
        <w:t>其他有助於審查之資料。</w:t>
      </w:r>
    </w:p>
    <w:p w14:paraId="5998896E" w14:textId="77777777" w:rsidR="00206AB7" w:rsidRPr="00E17560" w:rsidRDefault="00206AB7" w:rsidP="005B5E22">
      <w:pPr>
        <w:pStyle w:val="2"/>
        <w:spacing w:before="0" w:after="0" w:line="0" w:lineRule="atLeast"/>
        <w:ind w:left="1920" w:firstLine="0"/>
        <w:rPr>
          <w:rFonts w:ascii="Times New Roman"/>
          <w:color w:val="000000"/>
          <w:sz w:val="24"/>
          <w:szCs w:val="24"/>
        </w:rPr>
      </w:pPr>
      <w:r w:rsidRPr="00E17560">
        <w:rPr>
          <w:rFonts w:ascii="Times New Roman"/>
          <w:color w:val="000000"/>
          <w:sz w:val="24"/>
        </w:rPr>
        <w:t>Any information helpful for review.</w:t>
      </w:r>
    </w:p>
    <w:p w14:paraId="4BDD1435" w14:textId="77777777" w:rsidR="00E933D6" w:rsidRPr="00E17560" w:rsidRDefault="00E933D6" w:rsidP="00371357">
      <w:pPr>
        <w:pStyle w:val="2"/>
        <w:numPr>
          <w:ilvl w:val="0"/>
          <w:numId w:val="5"/>
        </w:numPr>
        <w:spacing w:before="0" w:after="0" w:line="0" w:lineRule="atLeast"/>
        <w:ind w:hanging="391"/>
        <w:rPr>
          <w:rFonts w:ascii="Times New Roman"/>
          <w:color w:val="000000"/>
          <w:sz w:val="24"/>
          <w:szCs w:val="24"/>
        </w:rPr>
      </w:pPr>
      <w:r w:rsidRPr="00E17560">
        <w:rPr>
          <w:rFonts w:ascii="Times New Roman"/>
          <w:color w:val="000000"/>
          <w:sz w:val="24"/>
        </w:rPr>
        <w:t>研究生領取本獎學金者，不得在外兼職，如在校內領有其他獎學金，其金額高於本獎學金，不得兼領本獎學金。</w:t>
      </w:r>
    </w:p>
    <w:p w14:paraId="7B5D0786" w14:textId="77777777" w:rsidR="00206AB7" w:rsidRPr="00E17560" w:rsidRDefault="00206AB7" w:rsidP="005B5E22">
      <w:pPr>
        <w:pStyle w:val="2"/>
        <w:spacing w:before="0" w:after="0" w:line="0" w:lineRule="atLeast"/>
        <w:ind w:left="958" w:firstLine="0"/>
        <w:rPr>
          <w:rFonts w:ascii="Times New Roman"/>
          <w:color w:val="000000"/>
          <w:sz w:val="24"/>
          <w:szCs w:val="24"/>
        </w:rPr>
      </w:pPr>
      <w:r w:rsidRPr="00E17560">
        <w:rPr>
          <w:rFonts w:ascii="Times New Roman"/>
          <w:color w:val="000000"/>
          <w:sz w:val="24"/>
        </w:rPr>
        <w:lastRenderedPageBreak/>
        <w:t>The graduate students who receive the scholarship may not take any part-time job outside the school. If they also receive other scholarships worth more than this scholarship from within the school, they may not receive this scholarship concurrently.</w:t>
      </w:r>
    </w:p>
    <w:p w14:paraId="3AF68A74" w14:textId="77777777" w:rsidR="00E933D6" w:rsidRPr="00E17560" w:rsidRDefault="00E933D6" w:rsidP="00371357">
      <w:pPr>
        <w:pStyle w:val="2"/>
        <w:numPr>
          <w:ilvl w:val="0"/>
          <w:numId w:val="5"/>
        </w:numPr>
        <w:spacing w:before="0" w:after="0" w:line="0" w:lineRule="atLeast"/>
        <w:ind w:hanging="391"/>
        <w:rPr>
          <w:rFonts w:ascii="Times New Roman"/>
          <w:color w:val="000000"/>
          <w:sz w:val="24"/>
          <w:szCs w:val="24"/>
        </w:rPr>
      </w:pPr>
      <w:r w:rsidRPr="00E17560">
        <w:rPr>
          <w:rFonts w:ascii="Times New Roman"/>
          <w:color w:val="000000"/>
          <w:sz w:val="24"/>
        </w:rPr>
        <w:t>研究生有一科不及格者或學期平均不及格者不得申請本獎學金。</w:t>
      </w:r>
    </w:p>
    <w:p w14:paraId="1F2A57D6" w14:textId="77777777" w:rsidR="00206AB7" w:rsidRPr="00E17560" w:rsidRDefault="00206AB7" w:rsidP="005B5E22">
      <w:pPr>
        <w:pStyle w:val="2"/>
        <w:spacing w:before="0" w:after="0" w:line="0" w:lineRule="atLeast"/>
        <w:ind w:left="958" w:firstLine="0"/>
        <w:rPr>
          <w:rFonts w:ascii="Times New Roman"/>
          <w:color w:val="000000"/>
          <w:sz w:val="24"/>
          <w:szCs w:val="24"/>
        </w:rPr>
      </w:pPr>
      <w:r w:rsidRPr="00E17560">
        <w:rPr>
          <w:rFonts w:ascii="Times New Roman"/>
          <w:color w:val="000000"/>
          <w:sz w:val="24"/>
        </w:rPr>
        <w:t>Graduate students who fail one subject or have a failing grade average for any semester may not apply for the scholarship.</w:t>
      </w:r>
    </w:p>
    <w:p w14:paraId="36788276" w14:textId="77777777" w:rsidR="00F14FF7" w:rsidRPr="00E17560" w:rsidRDefault="00F14FF7" w:rsidP="005B5E22">
      <w:pPr>
        <w:pStyle w:val="2"/>
        <w:spacing w:before="0" w:after="0" w:line="0" w:lineRule="atLeast"/>
        <w:ind w:left="480" w:firstLine="0"/>
        <w:rPr>
          <w:rFonts w:ascii="Times New Roman"/>
          <w:color w:val="000000"/>
          <w:sz w:val="24"/>
          <w:szCs w:val="24"/>
          <w:shd w:val="pct15" w:color="auto" w:fill="FFFFFF"/>
        </w:rPr>
      </w:pPr>
    </w:p>
    <w:p w14:paraId="4831BAEA" w14:textId="77777777" w:rsidR="00E933D6" w:rsidRPr="00E17560" w:rsidRDefault="00E933D6" w:rsidP="005B5E22">
      <w:pPr>
        <w:pStyle w:val="2"/>
        <w:numPr>
          <w:ilvl w:val="0"/>
          <w:numId w:val="4"/>
        </w:numPr>
        <w:spacing w:before="0" w:after="0" w:line="0" w:lineRule="atLeast"/>
        <w:ind w:left="567" w:hanging="567"/>
        <w:rPr>
          <w:rFonts w:ascii="Times New Roman"/>
          <w:color w:val="000000"/>
          <w:sz w:val="24"/>
          <w:szCs w:val="24"/>
        </w:rPr>
      </w:pPr>
      <w:r w:rsidRPr="00E17560">
        <w:rPr>
          <w:rFonts w:ascii="Times New Roman"/>
          <w:color w:val="000000"/>
          <w:sz w:val="24"/>
        </w:rPr>
        <w:t>本獎學金受獎學生須參與中興社舉辦的頒獎典禮暨座談會，並需提交畢業論文一冊給中興工程顧問社參考。</w:t>
      </w:r>
    </w:p>
    <w:p w14:paraId="36DC78E0" w14:textId="77777777" w:rsidR="00206AB7" w:rsidRPr="00E17560" w:rsidRDefault="00206AB7" w:rsidP="005B5E22">
      <w:pPr>
        <w:pStyle w:val="2"/>
        <w:spacing w:before="0" w:after="0" w:line="0" w:lineRule="atLeast"/>
        <w:ind w:left="567" w:firstLine="0"/>
        <w:rPr>
          <w:rFonts w:ascii="Times New Roman"/>
          <w:color w:val="000000"/>
          <w:sz w:val="24"/>
          <w:szCs w:val="24"/>
        </w:rPr>
      </w:pPr>
      <w:r w:rsidRPr="00E17560">
        <w:rPr>
          <w:rFonts w:ascii="Times New Roman"/>
          <w:color w:val="000000"/>
          <w:sz w:val="24"/>
        </w:rPr>
        <w:t>The students who are granted the scholarship must attend the award ceremony and seminar organized by Sinotech, and submit one copy of their graduation thesis to Sinotech for reference.</w:t>
      </w:r>
    </w:p>
    <w:p w14:paraId="4316095C" w14:textId="77777777" w:rsidR="00F14FF7" w:rsidRPr="00E17560" w:rsidRDefault="00F14FF7" w:rsidP="005B5E22">
      <w:pPr>
        <w:pStyle w:val="2"/>
        <w:spacing w:before="0" w:after="0" w:line="0" w:lineRule="atLeast"/>
        <w:ind w:left="0" w:firstLine="0"/>
        <w:rPr>
          <w:rFonts w:ascii="Times New Roman"/>
          <w:color w:val="000000"/>
          <w:sz w:val="24"/>
          <w:szCs w:val="24"/>
        </w:rPr>
      </w:pPr>
    </w:p>
    <w:p w14:paraId="3F71DC0C" w14:textId="77777777" w:rsidR="00E933D6" w:rsidRPr="00E17560" w:rsidRDefault="00E933D6" w:rsidP="005B5E22">
      <w:pPr>
        <w:pStyle w:val="2"/>
        <w:numPr>
          <w:ilvl w:val="0"/>
          <w:numId w:val="4"/>
        </w:numPr>
        <w:spacing w:before="0" w:after="0" w:line="0" w:lineRule="atLeast"/>
        <w:ind w:left="567" w:hanging="567"/>
        <w:rPr>
          <w:rFonts w:ascii="Times New Roman"/>
          <w:color w:val="000000"/>
          <w:sz w:val="24"/>
          <w:szCs w:val="24"/>
        </w:rPr>
      </w:pPr>
      <w:r w:rsidRPr="00E17560">
        <w:rPr>
          <w:rFonts w:ascii="Times New Roman"/>
          <w:color w:val="000000"/>
          <w:sz w:val="24"/>
        </w:rPr>
        <w:t>本辦法經系務會議通過後實施，修正時亦同。</w:t>
      </w:r>
    </w:p>
    <w:p w14:paraId="0E139918" w14:textId="77777777" w:rsidR="00206AB7" w:rsidRPr="00E17560" w:rsidRDefault="00206AB7" w:rsidP="005B5E22">
      <w:pPr>
        <w:pStyle w:val="2"/>
        <w:spacing w:before="0" w:after="0" w:line="0" w:lineRule="atLeast"/>
        <w:ind w:left="567" w:firstLine="0"/>
        <w:rPr>
          <w:rFonts w:ascii="Times New Roman"/>
          <w:color w:val="000000"/>
          <w:sz w:val="24"/>
          <w:szCs w:val="24"/>
        </w:rPr>
      </w:pPr>
      <w:r w:rsidRPr="00E17560">
        <w:rPr>
          <w:rFonts w:ascii="Times New Roman"/>
          <w:color w:val="000000"/>
          <w:sz w:val="24"/>
        </w:rPr>
        <w:t>These Regulations shall be enforced upon approval by the Department Affairs Committee Meeting. The same shall apply where the Regulations are amended.</w:t>
      </w:r>
    </w:p>
    <w:p w14:paraId="20E4F44E" w14:textId="77777777" w:rsidR="00E933D6" w:rsidRPr="00E17560" w:rsidRDefault="00E933D6" w:rsidP="005B5E22">
      <w:pPr>
        <w:spacing w:line="0" w:lineRule="atLeast"/>
        <w:rPr>
          <w:rFonts w:eastAsia="標楷體"/>
          <w:color w:val="000000"/>
          <w:szCs w:val="24"/>
        </w:rPr>
      </w:pPr>
    </w:p>
    <w:sectPr w:rsidR="00E933D6" w:rsidRPr="00E17560" w:rsidSect="00E17560">
      <w:pgSz w:w="11906" w:h="16838" w:code="9"/>
      <w:pgMar w:top="1134" w:right="1134" w:bottom="1134" w:left="1134"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B1758" w14:textId="77777777" w:rsidR="00BB1851" w:rsidRDefault="00BB1851" w:rsidP="00627197">
      <w:r>
        <w:separator/>
      </w:r>
    </w:p>
  </w:endnote>
  <w:endnote w:type="continuationSeparator" w:id="0">
    <w:p w14:paraId="4C94CBA1" w14:textId="77777777" w:rsidR="00BB1851" w:rsidRDefault="00BB1851" w:rsidP="0062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00"/>
    <w:family w:val="roman"/>
    <w:pitch w:val="variable"/>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F1163" w14:textId="77777777" w:rsidR="00BB1851" w:rsidRDefault="00BB1851" w:rsidP="00627197">
      <w:r>
        <w:separator/>
      </w:r>
    </w:p>
  </w:footnote>
  <w:footnote w:type="continuationSeparator" w:id="0">
    <w:p w14:paraId="7D190F75" w14:textId="77777777" w:rsidR="00BB1851" w:rsidRDefault="00BB1851" w:rsidP="006271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A48"/>
    <w:multiLevelType w:val="hybridMultilevel"/>
    <w:tmpl w:val="3F2CF99E"/>
    <w:lvl w:ilvl="0" w:tplc="44E432AC">
      <w:start w:val="1"/>
      <w:numFmt w:val="decimal"/>
      <w:lvlText w:val="(%1)"/>
      <w:lvlJc w:val="left"/>
      <w:pPr>
        <w:ind w:left="1920" w:hanging="360"/>
      </w:pPr>
      <w:rPr>
        <w:rFonts w:hAnsi="Times New Roman"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15:restartNumberingAfterBreak="0">
    <w:nsid w:val="121E4C3C"/>
    <w:multiLevelType w:val="hybridMultilevel"/>
    <w:tmpl w:val="EA38F646"/>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01E286C"/>
    <w:multiLevelType w:val="hybridMultilevel"/>
    <w:tmpl w:val="86F01236"/>
    <w:lvl w:ilvl="0" w:tplc="4E3A7BB0">
      <w:start w:val="1"/>
      <w:numFmt w:val="decimal"/>
      <w:lvlText w:val="%1."/>
      <w:lvlJc w:val="left"/>
      <w:pPr>
        <w:ind w:left="958" w:hanging="48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 w15:restartNumberingAfterBreak="0">
    <w:nsid w:val="53AB06B1"/>
    <w:multiLevelType w:val="singleLevel"/>
    <w:tmpl w:val="C2BC56EA"/>
    <w:lvl w:ilvl="0">
      <w:start w:val="1"/>
      <w:numFmt w:val="decimal"/>
      <w:lvlText w:val="（%1）"/>
      <w:lvlJc w:val="left"/>
      <w:pPr>
        <w:tabs>
          <w:tab w:val="num" w:pos="1320"/>
        </w:tabs>
        <w:ind w:left="1320" w:hanging="840"/>
      </w:pPr>
      <w:rPr>
        <w:rFonts w:hint="eastAsia"/>
      </w:rPr>
    </w:lvl>
  </w:abstractNum>
  <w:abstractNum w:abstractNumId="4" w15:restartNumberingAfterBreak="0">
    <w:nsid w:val="5E1224AA"/>
    <w:multiLevelType w:val="singleLevel"/>
    <w:tmpl w:val="945654D8"/>
    <w:lvl w:ilvl="0">
      <w:start w:val="1"/>
      <w:numFmt w:val="taiwaneseCountingThousand"/>
      <w:lvlText w:val="%1、"/>
      <w:lvlJc w:val="left"/>
      <w:pPr>
        <w:tabs>
          <w:tab w:val="num" w:pos="660"/>
        </w:tabs>
        <w:ind w:left="660" w:hanging="660"/>
      </w:pPr>
      <w:rPr>
        <w:rFonts w:hint="eastAsia"/>
      </w:rPr>
    </w:lvl>
  </w:abstractNum>
  <w:abstractNum w:abstractNumId="5" w15:restartNumberingAfterBreak="0">
    <w:nsid w:val="71D965D6"/>
    <w:multiLevelType w:val="hybridMultilevel"/>
    <w:tmpl w:val="95D0E530"/>
    <w:lvl w:ilvl="0" w:tplc="1D687B4C">
      <w:start w:val="1"/>
      <w:numFmt w:val="decimal"/>
      <w:lvlText w:val="%1."/>
      <w:lvlJc w:val="left"/>
      <w:pPr>
        <w:tabs>
          <w:tab w:val="num" w:pos="2277"/>
        </w:tabs>
        <w:ind w:left="2277" w:hanging="360"/>
      </w:pPr>
      <w:rPr>
        <w:rFonts w:hint="default"/>
      </w:rPr>
    </w:lvl>
    <w:lvl w:ilvl="1" w:tplc="04090019" w:tentative="1">
      <w:start w:val="1"/>
      <w:numFmt w:val="ideographTraditional"/>
      <w:lvlText w:val="%2、"/>
      <w:lvlJc w:val="left"/>
      <w:pPr>
        <w:tabs>
          <w:tab w:val="num" w:pos="2877"/>
        </w:tabs>
        <w:ind w:left="2877" w:hanging="480"/>
      </w:pPr>
    </w:lvl>
    <w:lvl w:ilvl="2" w:tplc="0409001B" w:tentative="1">
      <w:start w:val="1"/>
      <w:numFmt w:val="lowerRoman"/>
      <w:lvlText w:val="%3."/>
      <w:lvlJc w:val="right"/>
      <w:pPr>
        <w:tabs>
          <w:tab w:val="num" w:pos="3357"/>
        </w:tabs>
        <w:ind w:left="3357" w:hanging="480"/>
      </w:pPr>
    </w:lvl>
    <w:lvl w:ilvl="3" w:tplc="0409000F" w:tentative="1">
      <w:start w:val="1"/>
      <w:numFmt w:val="decimal"/>
      <w:lvlText w:val="%4."/>
      <w:lvlJc w:val="left"/>
      <w:pPr>
        <w:tabs>
          <w:tab w:val="num" w:pos="3837"/>
        </w:tabs>
        <w:ind w:left="3837" w:hanging="480"/>
      </w:pPr>
    </w:lvl>
    <w:lvl w:ilvl="4" w:tplc="04090019" w:tentative="1">
      <w:start w:val="1"/>
      <w:numFmt w:val="ideographTraditional"/>
      <w:lvlText w:val="%5、"/>
      <w:lvlJc w:val="left"/>
      <w:pPr>
        <w:tabs>
          <w:tab w:val="num" w:pos="4317"/>
        </w:tabs>
        <w:ind w:left="4317" w:hanging="480"/>
      </w:pPr>
    </w:lvl>
    <w:lvl w:ilvl="5" w:tplc="0409001B" w:tentative="1">
      <w:start w:val="1"/>
      <w:numFmt w:val="lowerRoman"/>
      <w:lvlText w:val="%6."/>
      <w:lvlJc w:val="right"/>
      <w:pPr>
        <w:tabs>
          <w:tab w:val="num" w:pos="4797"/>
        </w:tabs>
        <w:ind w:left="4797" w:hanging="480"/>
      </w:pPr>
    </w:lvl>
    <w:lvl w:ilvl="6" w:tplc="0409000F" w:tentative="1">
      <w:start w:val="1"/>
      <w:numFmt w:val="decimal"/>
      <w:lvlText w:val="%7."/>
      <w:lvlJc w:val="left"/>
      <w:pPr>
        <w:tabs>
          <w:tab w:val="num" w:pos="5277"/>
        </w:tabs>
        <w:ind w:left="5277" w:hanging="480"/>
      </w:pPr>
    </w:lvl>
    <w:lvl w:ilvl="7" w:tplc="04090019" w:tentative="1">
      <w:start w:val="1"/>
      <w:numFmt w:val="ideographTraditional"/>
      <w:lvlText w:val="%8、"/>
      <w:lvlJc w:val="left"/>
      <w:pPr>
        <w:tabs>
          <w:tab w:val="num" w:pos="5757"/>
        </w:tabs>
        <w:ind w:left="5757" w:hanging="480"/>
      </w:pPr>
    </w:lvl>
    <w:lvl w:ilvl="8" w:tplc="0409001B" w:tentative="1">
      <w:start w:val="1"/>
      <w:numFmt w:val="lowerRoman"/>
      <w:lvlText w:val="%9."/>
      <w:lvlJc w:val="right"/>
      <w:pPr>
        <w:tabs>
          <w:tab w:val="num" w:pos="6237"/>
        </w:tabs>
        <w:ind w:left="6237" w:hanging="4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D6"/>
    <w:rsid w:val="00020F32"/>
    <w:rsid w:val="00053175"/>
    <w:rsid w:val="001943A8"/>
    <w:rsid w:val="00206AB7"/>
    <w:rsid w:val="00245AC2"/>
    <w:rsid w:val="002602D5"/>
    <w:rsid w:val="00303CC4"/>
    <w:rsid w:val="00371357"/>
    <w:rsid w:val="004A2EDD"/>
    <w:rsid w:val="004A482A"/>
    <w:rsid w:val="00552CDE"/>
    <w:rsid w:val="00553CE1"/>
    <w:rsid w:val="005B5E22"/>
    <w:rsid w:val="00627197"/>
    <w:rsid w:val="00677FDA"/>
    <w:rsid w:val="006D2744"/>
    <w:rsid w:val="006D64BB"/>
    <w:rsid w:val="007630E6"/>
    <w:rsid w:val="008114F8"/>
    <w:rsid w:val="008B1718"/>
    <w:rsid w:val="009A708B"/>
    <w:rsid w:val="009D539B"/>
    <w:rsid w:val="00A0200E"/>
    <w:rsid w:val="00A547B3"/>
    <w:rsid w:val="00B647AB"/>
    <w:rsid w:val="00B90F50"/>
    <w:rsid w:val="00BB1851"/>
    <w:rsid w:val="00BE5BA4"/>
    <w:rsid w:val="00C57C4B"/>
    <w:rsid w:val="00CB039D"/>
    <w:rsid w:val="00CF66EC"/>
    <w:rsid w:val="00D17A7A"/>
    <w:rsid w:val="00D5614D"/>
    <w:rsid w:val="00D8206C"/>
    <w:rsid w:val="00DB73DD"/>
    <w:rsid w:val="00DC64E8"/>
    <w:rsid w:val="00DF3266"/>
    <w:rsid w:val="00E17560"/>
    <w:rsid w:val="00E933D6"/>
    <w:rsid w:val="00EB259F"/>
    <w:rsid w:val="00ED38C4"/>
    <w:rsid w:val="00EE2AFE"/>
    <w:rsid w:val="00F14FF7"/>
    <w:rsid w:val="00FC0849"/>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BA6268"/>
  <w15:chartTrackingRefBased/>
  <w15:docId w15:val="{9405CFB8-8CD9-45BA-BCC3-D65258F5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3D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E933D6"/>
    <w:pPr>
      <w:widowControl/>
      <w:autoSpaceDE w:val="0"/>
      <w:autoSpaceDN w:val="0"/>
      <w:spacing w:before="60" w:after="60" w:line="480" w:lineRule="atLeast"/>
      <w:ind w:left="720" w:hanging="720"/>
      <w:jc w:val="both"/>
      <w:textAlignment w:val="bottom"/>
    </w:pPr>
    <w:rPr>
      <w:rFonts w:ascii="標楷體" w:eastAsia="標楷體"/>
      <w:sz w:val="32"/>
    </w:rPr>
  </w:style>
  <w:style w:type="character" w:styleId="a3">
    <w:name w:val="annotation reference"/>
    <w:semiHidden/>
    <w:rsid w:val="00F14FF7"/>
    <w:rPr>
      <w:sz w:val="18"/>
      <w:szCs w:val="18"/>
    </w:rPr>
  </w:style>
  <w:style w:type="paragraph" w:styleId="a4">
    <w:name w:val="annotation text"/>
    <w:basedOn w:val="a"/>
    <w:semiHidden/>
    <w:rsid w:val="00F14FF7"/>
  </w:style>
  <w:style w:type="paragraph" w:styleId="a5">
    <w:name w:val="annotation subject"/>
    <w:basedOn w:val="a4"/>
    <w:next w:val="a4"/>
    <w:semiHidden/>
    <w:rsid w:val="00F14FF7"/>
    <w:rPr>
      <w:b/>
      <w:bCs/>
    </w:rPr>
  </w:style>
  <w:style w:type="paragraph" w:styleId="a6">
    <w:name w:val="Balloon Text"/>
    <w:basedOn w:val="a"/>
    <w:semiHidden/>
    <w:rsid w:val="00F14FF7"/>
    <w:rPr>
      <w:rFonts w:ascii="Arial" w:hAnsi="Arial"/>
      <w:sz w:val="18"/>
      <w:szCs w:val="18"/>
    </w:rPr>
  </w:style>
  <w:style w:type="paragraph" w:styleId="a7">
    <w:name w:val="header"/>
    <w:basedOn w:val="a"/>
    <w:link w:val="a8"/>
    <w:rsid w:val="00627197"/>
    <w:pPr>
      <w:tabs>
        <w:tab w:val="center" w:pos="4153"/>
        <w:tab w:val="right" w:pos="8306"/>
      </w:tabs>
      <w:snapToGrid w:val="0"/>
    </w:pPr>
    <w:rPr>
      <w:sz w:val="20"/>
    </w:rPr>
  </w:style>
  <w:style w:type="character" w:customStyle="1" w:styleId="a8">
    <w:name w:val="頁首 字元"/>
    <w:link w:val="a7"/>
    <w:rsid w:val="00627197"/>
    <w:rPr>
      <w:kern w:val="2"/>
    </w:rPr>
  </w:style>
  <w:style w:type="paragraph" w:styleId="a9">
    <w:name w:val="footer"/>
    <w:basedOn w:val="a"/>
    <w:link w:val="aa"/>
    <w:rsid w:val="00627197"/>
    <w:pPr>
      <w:tabs>
        <w:tab w:val="center" w:pos="4153"/>
        <w:tab w:val="right" w:pos="8306"/>
      </w:tabs>
      <w:snapToGrid w:val="0"/>
    </w:pPr>
    <w:rPr>
      <w:sz w:val="20"/>
    </w:rPr>
  </w:style>
  <w:style w:type="character" w:customStyle="1" w:styleId="aa">
    <w:name w:val="頁尾 字元"/>
    <w:link w:val="a9"/>
    <w:rsid w:val="00627197"/>
    <w:rPr>
      <w:kern w:val="2"/>
    </w:rPr>
  </w:style>
  <w:style w:type="paragraph" w:styleId="ab">
    <w:name w:val="List Paragraph"/>
    <w:basedOn w:val="a"/>
    <w:uiPriority w:val="34"/>
    <w:qFormat/>
    <w:rsid w:val="00206AB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國立交通大學土木工程學系</dc:title>
  <dc:subject/>
  <dc:creator>USER</dc:creator>
  <cp:keywords/>
  <cp:lastModifiedBy>user</cp:lastModifiedBy>
  <cp:revision>13</cp:revision>
  <dcterms:created xsi:type="dcterms:W3CDTF">2022-07-05T09:21:00Z</dcterms:created>
  <dcterms:modified xsi:type="dcterms:W3CDTF">2022-09-16T06:30:00Z</dcterms:modified>
</cp:coreProperties>
</file>