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CAD4" w14:textId="77777777" w:rsidR="003B75B3" w:rsidRPr="00394339" w:rsidRDefault="003B75B3" w:rsidP="003B75B3">
      <w:pPr>
        <w:widowControl/>
        <w:pBdr>
          <w:bottom w:val="thickThinSmallGap" w:sz="24" w:space="1" w:color="auto"/>
        </w:pBdr>
        <w:adjustRightInd/>
        <w:spacing w:line="0" w:lineRule="atLeast"/>
        <w:jc w:val="center"/>
        <w:textAlignment w:val="bottom"/>
        <w:rPr>
          <w:rFonts w:eastAsia="標楷體"/>
          <w:iCs/>
          <w:color w:val="000000"/>
          <w:sz w:val="36"/>
          <w:szCs w:val="36"/>
        </w:rPr>
      </w:pPr>
      <w:r w:rsidRPr="00394339">
        <w:rPr>
          <w:rFonts w:eastAsia="標楷體"/>
          <w:color w:val="000000"/>
          <w:sz w:val="36"/>
        </w:rPr>
        <w:t>國立陽明交通大學土木工程學系甄選碩士預修生辦法</w:t>
      </w:r>
    </w:p>
    <w:p w14:paraId="355C5582" w14:textId="324923EF" w:rsidR="00394339" w:rsidRDefault="00394339" w:rsidP="00394339">
      <w:pPr>
        <w:widowControl/>
        <w:pBdr>
          <w:bottom w:val="thickThinSmallGap" w:sz="24" w:space="1" w:color="auto"/>
        </w:pBdr>
        <w:adjustRightInd/>
        <w:spacing w:line="0" w:lineRule="atLeast"/>
        <w:jc w:val="center"/>
        <w:textAlignment w:val="bottom"/>
        <w:rPr>
          <w:rFonts w:eastAsia="標楷體"/>
          <w:color w:val="000000"/>
          <w:sz w:val="36"/>
        </w:rPr>
      </w:pPr>
      <w:r w:rsidRPr="00394339">
        <w:rPr>
          <w:rFonts w:eastAsia="標楷體"/>
          <w:color w:val="000000"/>
          <w:sz w:val="36"/>
        </w:rPr>
        <w:t>Department of Civil Engineering</w:t>
      </w:r>
    </w:p>
    <w:p w14:paraId="58C21963" w14:textId="2954CD7F" w:rsidR="00394339" w:rsidRDefault="00F75508" w:rsidP="00366045">
      <w:pPr>
        <w:widowControl/>
        <w:pBdr>
          <w:bottom w:val="thickThinSmallGap" w:sz="24" w:space="1" w:color="auto"/>
        </w:pBdr>
        <w:adjustRightInd/>
        <w:spacing w:line="0" w:lineRule="atLeast"/>
        <w:jc w:val="center"/>
        <w:textAlignment w:val="bottom"/>
        <w:rPr>
          <w:rFonts w:eastAsia="標楷體"/>
          <w:color w:val="000000"/>
          <w:sz w:val="36"/>
        </w:rPr>
      </w:pPr>
      <w:r w:rsidRPr="00394339">
        <w:rPr>
          <w:rFonts w:eastAsia="標楷體"/>
          <w:color w:val="000000"/>
          <w:sz w:val="36"/>
        </w:rPr>
        <w:t xml:space="preserve">National Yang Ming Chiao Tung University </w:t>
      </w:r>
    </w:p>
    <w:p w14:paraId="330638F7" w14:textId="2C3A6F07" w:rsidR="00F75508" w:rsidRPr="00394339" w:rsidRDefault="00F75508" w:rsidP="00366045">
      <w:pPr>
        <w:widowControl/>
        <w:pBdr>
          <w:bottom w:val="thickThinSmallGap" w:sz="24" w:space="1" w:color="auto"/>
        </w:pBdr>
        <w:adjustRightInd/>
        <w:spacing w:line="0" w:lineRule="atLeast"/>
        <w:jc w:val="center"/>
        <w:textAlignment w:val="bottom"/>
        <w:rPr>
          <w:rFonts w:eastAsia="標楷體"/>
          <w:iCs/>
          <w:color w:val="000000"/>
          <w:sz w:val="36"/>
          <w:szCs w:val="36"/>
        </w:rPr>
      </w:pPr>
      <w:r w:rsidRPr="00394339">
        <w:rPr>
          <w:rFonts w:eastAsia="標楷體"/>
          <w:color w:val="000000"/>
          <w:sz w:val="36"/>
        </w:rPr>
        <w:t>Regulations for Selection of Pre-Master’s Students</w:t>
      </w:r>
    </w:p>
    <w:p w14:paraId="23384602" w14:textId="77777777" w:rsidR="003B75B3" w:rsidRPr="00394339" w:rsidRDefault="003B75B3" w:rsidP="003B75B3">
      <w:pPr>
        <w:snapToGrid w:val="0"/>
        <w:spacing w:line="0" w:lineRule="atLeast"/>
        <w:jc w:val="right"/>
        <w:rPr>
          <w:rFonts w:eastAsia="標楷體"/>
          <w:color w:val="000000"/>
          <w:sz w:val="20"/>
        </w:rPr>
      </w:pPr>
      <w:r w:rsidRPr="00394339">
        <w:rPr>
          <w:rFonts w:eastAsia="標楷體"/>
          <w:color w:val="000000"/>
          <w:sz w:val="20"/>
        </w:rPr>
        <w:t>2021</w:t>
      </w:r>
      <w:r w:rsidRPr="00394339">
        <w:rPr>
          <w:rFonts w:eastAsia="標楷體"/>
          <w:color w:val="000000"/>
          <w:sz w:val="20"/>
        </w:rPr>
        <w:t>年</w:t>
      </w:r>
      <w:r w:rsidRPr="00394339">
        <w:rPr>
          <w:rFonts w:eastAsia="標楷體"/>
          <w:color w:val="000000"/>
          <w:sz w:val="20"/>
        </w:rPr>
        <w:t>11</w:t>
      </w:r>
      <w:r w:rsidRPr="00394339">
        <w:rPr>
          <w:rFonts w:eastAsia="標楷體"/>
          <w:color w:val="000000"/>
          <w:sz w:val="20"/>
        </w:rPr>
        <w:t>月</w:t>
      </w:r>
      <w:r w:rsidRPr="00394339">
        <w:rPr>
          <w:rFonts w:eastAsia="標楷體"/>
          <w:color w:val="000000"/>
          <w:sz w:val="20"/>
        </w:rPr>
        <w:t>17</w:t>
      </w:r>
      <w:r w:rsidRPr="00394339">
        <w:rPr>
          <w:rFonts w:eastAsia="標楷體"/>
          <w:color w:val="000000"/>
          <w:sz w:val="20"/>
        </w:rPr>
        <w:t>日</w:t>
      </w:r>
      <w:r w:rsidRPr="00394339">
        <w:rPr>
          <w:rFonts w:eastAsia="標楷體"/>
          <w:color w:val="000000"/>
          <w:sz w:val="20"/>
        </w:rPr>
        <w:t>110</w:t>
      </w:r>
      <w:r w:rsidRPr="00394339">
        <w:rPr>
          <w:rFonts w:eastAsia="標楷體"/>
          <w:color w:val="000000"/>
          <w:sz w:val="20"/>
        </w:rPr>
        <w:t>學年度第</w:t>
      </w:r>
      <w:r w:rsidRPr="00394339">
        <w:rPr>
          <w:rFonts w:eastAsia="標楷體"/>
          <w:color w:val="000000"/>
          <w:sz w:val="20"/>
        </w:rPr>
        <w:t>1</w:t>
      </w:r>
      <w:r w:rsidRPr="00394339">
        <w:rPr>
          <w:rFonts w:eastAsia="標楷體"/>
          <w:color w:val="000000"/>
          <w:sz w:val="20"/>
        </w:rPr>
        <w:t>學期第</w:t>
      </w:r>
      <w:r w:rsidRPr="00394339">
        <w:rPr>
          <w:rFonts w:eastAsia="標楷體"/>
          <w:color w:val="000000"/>
          <w:sz w:val="20"/>
        </w:rPr>
        <w:t>3</w:t>
      </w:r>
      <w:r w:rsidRPr="00394339">
        <w:rPr>
          <w:rFonts w:eastAsia="標楷體"/>
          <w:color w:val="000000"/>
          <w:sz w:val="20"/>
        </w:rPr>
        <w:t>次系務會議新訂</w:t>
      </w:r>
    </w:p>
    <w:p w14:paraId="10C43174" w14:textId="71C07085" w:rsidR="00122ECC" w:rsidRPr="00394339" w:rsidRDefault="0070488A" w:rsidP="00394339">
      <w:pPr>
        <w:snapToGrid w:val="0"/>
        <w:spacing w:line="0" w:lineRule="atLeast"/>
        <w:jc w:val="right"/>
        <w:rPr>
          <w:rFonts w:eastAsia="標楷體"/>
          <w:bCs/>
          <w:color w:val="000000"/>
          <w:sz w:val="20"/>
        </w:rPr>
      </w:pPr>
      <w:r w:rsidRPr="00394339">
        <w:rPr>
          <w:rFonts w:eastAsia="標楷體"/>
          <w:color w:val="000000"/>
          <w:sz w:val="20"/>
        </w:rPr>
        <w:t>Newly formulated at the 3rd Department Affairs Meeting of the 1st Semester of Academic Year 2021 on November 17, 2021</w:t>
      </w:r>
    </w:p>
    <w:p w14:paraId="49FB0EF1" w14:textId="77777777" w:rsidR="003B75B3" w:rsidRPr="00394339" w:rsidRDefault="003B75B3" w:rsidP="00366045">
      <w:pPr>
        <w:snapToGrid w:val="0"/>
        <w:spacing w:line="0" w:lineRule="atLeast"/>
        <w:jc w:val="right"/>
        <w:rPr>
          <w:rFonts w:eastAsia="標楷體"/>
          <w:color w:val="000000"/>
          <w:sz w:val="20"/>
        </w:rPr>
      </w:pPr>
    </w:p>
    <w:p w14:paraId="5302770F" w14:textId="77777777" w:rsidR="00DE3480" w:rsidRPr="00394339" w:rsidRDefault="00DE3480" w:rsidP="00DE3480">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t>國立陽明交通大學土木工程學系</w:t>
      </w:r>
      <w:r w:rsidRPr="00394339">
        <w:rPr>
          <w:rFonts w:eastAsia="標楷體"/>
          <w:color w:val="000000"/>
        </w:rPr>
        <w:t>(</w:t>
      </w:r>
      <w:r w:rsidRPr="00394339">
        <w:rPr>
          <w:rFonts w:eastAsia="標楷體"/>
          <w:color w:val="000000"/>
        </w:rPr>
        <w:t>以下簡稱本系</w:t>
      </w:r>
      <w:r w:rsidRPr="00394339">
        <w:rPr>
          <w:rFonts w:eastAsia="標楷體"/>
          <w:color w:val="000000"/>
        </w:rPr>
        <w:t>)</w:t>
      </w:r>
      <w:r w:rsidRPr="00394339">
        <w:rPr>
          <w:rFonts w:eastAsia="標楷體"/>
          <w:color w:val="000000"/>
        </w:rPr>
        <w:t>為輔導本系學士班及系統工程與科技學士學位學程環境資訊及工程學組優秀同學及早進入研究領域、有效加速優秀人才培育，特訂定本辦法。</w:t>
      </w:r>
    </w:p>
    <w:p w14:paraId="51A9DAD3" w14:textId="41DF0315" w:rsidR="008434C1" w:rsidRPr="00394339" w:rsidRDefault="008434C1" w:rsidP="00DE3480">
      <w:pPr>
        <w:pStyle w:val="a6"/>
        <w:adjustRightInd/>
        <w:snapToGrid w:val="0"/>
        <w:spacing w:line="0" w:lineRule="atLeast"/>
        <w:ind w:leftChars="0"/>
        <w:jc w:val="both"/>
        <w:textAlignment w:val="auto"/>
        <w:rPr>
          <w:rFonts w:eastAsia="標楷體"/>
          <w:color w:val="000000"/>
        </w:rPr>
      </w:pPr>
      <w:r w:rsidRPr="00394339">
        <w:rPr>
          <w:rFonts w:eastAsia="標楷體"/>
          <w:color w:val="000000"/>
        </w:rPr>
        <w:t>NYCU Department of Civil Engineering (hereinafter referred to as the “Department”) adopts these Regulations, in order to guide the outstanding students from the Department’s bachelor’s degree program, and the System Engineering and Technology Bachelor’s Degree Program, Environmental Information and Engineering Group, to enter the research field as soon as possible and effectively accelerate talent training.</w:t>
      </w:r>
    </w:p>
    <w:p w14:paraId="23861A11" w14:textId="491C645D" w:rsidR="00A2636C" w:rsidRPr="00394339" w:rsidRDefault="00A2636C" w:rsidP="00A2636C">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t>學生修業滿五學期，並具備下列資格，得於每年五月底前提出申請參加本系碩士學位之預修學程</w:t>
      </w:r>
      <w:r w:rsidRPr="00394339">
        <w:rPr>
          <w:rFonts w:eastAsia="標楷體"/>
          <w:color w:val="000000"/>
        </w:rPr>
        <w:t>(</w:t>
      </w:r>
      <w:r w:rsidRPr="00394339">
        <w:rPr>
          <w:rFonts w:eastAsia="標楷體"/>
          <w:color w:val="000000"/>
        </w:rPr>
        <w:t>以下簡稱碩士預修學程</w:t>
      </w:r>
      <w:r w:rsidRPr="00394339">
        <w:rPr>
          <w:rFonts w:eastAsia="標楷體"/>
          <w:color w:val="000000"/>
        </w:rPr>
        <w:t>)</w:t>
      </w:r>
      <w:r w:rsidRPr="00394339">
        <w:rPr>
          <w:rFonts w:eastAsia="標楷體"/>
          <w:color w:val="000000"/>
        </w:rPr>
        <w:t>，成為本系的碩士預修生。</w:t>
      </w:r>
    </w:p>
    <w:p w14:paraId="3DCD1C4D" w14:textId="09BB791D" w:rsidR="008434C1" w:rsidRPr="00394339" w:rsidRDefault="008434C1" w:rsidP="00DE3480">
      <w:pPr>
        <w:pStyle w:val="a6"/>
        <w:adjustRightInd/>
        <w:snapToGrid w:val="0"/>
        <w:spacing w:line="0" w:lineRule="atLeast"/>
        <w:ind w:leftChars="0"/>
        <w:jc w:val="both"/>
        <w:textAlignment w:val="auto"/>
        <w:rPr>
          <w:rFonts w:eastAsia="標楷體"/>
          <w:color w:val="000000"/>
          <w:szCs w:val="24"/>
          <w:highlight w:val="yellow"/>
        </w:rPr>
      </w:pPr>
      <w:r w:rsidRPr="00394339">
        <w:rPr>
          <w:rFonts w:eastAsia="標楷體"/>
          <w:color w:val="000000"/>
        </w:rPr>
        <w:t>Students who have completed 5 semesters of study and satisfied the following qualifications may apply for admission to the pre-master’s program of the Department (hereinafter referred to as the “Pre-Master’s Program”) by the end of May of each year to become pre-master’s students of the Department.</w:t>
      </w:r>
    </w:p>
    <w:p w14:paraId="5DCDB5CB" w14:textId="77777777" w:rsidR="00DE3480" w:rsidRPr="00394339" w:rsidRDefault="00DE3480" w:rsidP="00DE3480">
      <w:pPr>
        <w:pStyle w:val="a6"/>
        <w:numPr>
          <w:ilvl w:val="1"/>
          <w:numId w:val="7"/>
        </w:numPr>
        <w:tabs>
          <w:tab w:val="left" w:pos="1620"/>
        </w:tabs>
        <w:adjustRightInd/>
        <w:snapToGrid w:val="0"/>
        <w:spacing w:line="0" w:lineRule="atLeast"/>
        <w:ind w:leftChars="0"/>
        <w:jc w:val="both"/>
        <w:textAlignment w:val="auto"/>
        <w:rPr>
          <w:rFonts w:eastAsia="標楷體"/>
          <w:color w:val="000000"/>
          <w:szCs w:val="24"/>
        </w:rPr>
      </w:pPr>
      <w:r w:rsidRPr="00394339">
        <w:rPr>
          <w:rFonts w:eastAsia="標楷體"/>
          <w:color w:val="000000"/>
        </w:rPr>
        <w:t>學業成績名次在班或系排名前</w:t>
      </w:r>
      <w:r w:rsidRPr="00394339">
        <w:rPr>
          <w:rFonts w:eastAsia="標楷體"/>
          <w:color w:val="000000"/>
        </w:rPr>
        <w:t>30%</w:t>
      </w:r>
      <w:r w:rsidRPr="00394339">
        <w:rPr>
          <w:rFonts w:eastAsia="標楷體"/>
          <w:color w:val="000000"/>
        </w:rPr>
        <w:t>。</w:t>
      </w:r>
    </w:p>
    <w:p w14:paraId="00C383AD" w14:textId="68A8AED7" w:rsidR="008434C1" w:rsidRPr="00394339" w:rsidRDefault="008434C1" w:rsidP="00DE3480">
      <w:pPr>
        <w:pStyle w:val="a6"/>
        <w:tabs>
          <w:tab w:val="left" w:pos="1620"/>
        </w:tabs>
        <w:adjustRightInd/>
        <w:snapToGrid w:val="0"/>
        <w:spacing w:line="0" w:lineRule="atLeast"/>
        <w:ind w:leftChars="0" w:left="840"/>
        <w:jc w:val="both"/>
        <w:textAlignment w:val="auto"/>
        <w:rPr>
          <w:rFonts w:eastAsia="標楷體"/>
          <w:color w:val="000000"/>
          <w:szCs w:val="24"/>
        </w:rPr>
      </w:pPr>
      <w:r w:rsidRPr="00394339">
        <w:rPr>
          <w:rFonts w:eastAsia="標楷體"/>
          <w:color w:val="000000"/>
        </w:rPr>
        <w:t>Rank in the top 30% of the class or department by GPA.</w:t>
      </w:r>
    </w:p>
    <w:p w14:paraId="159B12CF" w14:textId="77777777" w:rsidR="00DE3480" w:rsidRPr="00394339" w:rsidRDefault="00DE3480" w:rsidP="00DE3480">
      <w:pPr>
        <w:pStyle w:val="a6"/>
        <w:numPr>
          <w:ilvl w:val="1"/>
          <w:numId w:val="7"/>
        </w:numPr>
        <w:tabs>
          <w:tab w:val="left" w:pos="1620"/>
        </w:tabs>
        <w:adjustRightInd/>
        <w:snapToGrid w:val="0"/>
        <w:spacing w:line="0" w:lineRule="atLeast"/>
        <w:ind w:leftChars="0"/>
        <w:jc w:val="both"/>
        <w:textAlignment w:val="auto"/>
        <w:rPr>
          <w:rFonts w:eastAsia="標楷體"/>
          <w:color w:val="000000"/>
          <w:szCs w:val="24"/>
        </w:rPr>
      </w:pPr>
      <w:r w:rsidRPr="00394339">
        <w:rPr>
          <w:rFonts w:eastAsia="標楷體"/>
          <w:color w:val="000000"/>
        </w:rPr>
        <w:t>大一至大三上共五學期修完應修畢業學分達</w:t>
      </w:r>
      <w:r w:rsidRPr="00394339">
        <w:rPr>
          <w:rFonts w:eastAsia="標楷體"/>
          <w:color w:val="000000"/>
        </w:rPr>
        <w:t>90</w:t>
      </w:r>
      <w:r w:rsidRPr="00394339">
        <w:rPr>
          <w:rFonts w:eastAsia="標楷體"/>
          <w:color w:val="000000"/>
        </w:rPr>
        <w:t>學分以上。</w:t>
      </w:r>
    </w:p>
    <w:p w14:paraId="679F452F" w14:textId="38861D0E" w:rsidR="00853269" w:rsidRPr="00394339" w:rsidRDefault="008434C1" w:rsidP="00DE3480">
      <w:pPr>
        <w:pStyle w:val="a6"/>
        <w:tabs>
          <w:tab w:val="left" w:pos="1620"/>
        </w:tabs>
        <w:adjustRightInd/>
        <w:snapToGrid w:val="0"/>
        <w:spacing w:line="0" w:lineRule="atLeast"/>
        <w:ind w:leftChars="0" w:left="840"/>
        <w:jc w:val="both"/>
        <w:textAlignment w:val="auto"/>
        <w:rPr>
          <w:rFonts w:eastAsia="標楷體"/>
          <w:color w:val="000000"/>
          <w:szCs w:val="24"/>
        </w:rPr>
      </w:pPr>
      <w:r w:rsidRPr="00394339">
        <w:rPr>
          <w:rFonts w:eastAsia="標楷體"/>
          <w:color w:val="000000"/>
        </w:rPr>
        <w:t>Completed 90 or more graduation credits in five semesters between freshman and junior years.</w:t>
      </w:r>
    </w:p>
    <w:p w14:paraId="642E04E6" w14:textId="77777777" w:rsidR="00476B88" w:rsidRPr="00394339" w:rsidRDefault="00476B88" w:rsidP="00366045">
      <w:pPr>
        <w:tabs>
          <w:tab w:val="left" w:pos="1620"/>
        </w:tabs>
        <w:adjustRightInd/>
        <w:snapToGrid w:val="0"/>
        <w:spacing w:line="0" w:lineRule="atLeast"/>
        <w:ind w:left="480" w:hangingChars="200" w:hanging="480"/>
        <w:jc w:val="both"/>
        <w:textAlignment w:val="auto"/>
        <w:rPr>
          <w:rFonts w:eastAsia="標楷體"/>
          <w:color w:val="000000"/>
          <w:szCs w:val="24"/>
        </w:rPr>
      </w:pPr>
    </w:p>
    <w:p w14:paraId="3EF557FF" w14:textId="77777777" w:rsidR="009E63F3" w:rsidRPr="00394339" w:rsidRDefault="009E63F3" w:rsidP="009E63F3">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t>申請時應繳交申請表、歷年完整成績單、班或系排序證明及其他有利審查之資料。</w:t>
      </w:r>
    </w:p>
    <w:p w14:paraId="547ED547" w14:textId="0035AB84" w:rsidR="008434C1" w:rsidRPr="00394339" w:rsidRDefault="008434C1" w:rsidP="009E63F3">
      <w:pPr>
        <w:pStyle w:val="a6"/>
        <w:adjustRightInd/>
        <w:snapToGrid w:val="0"/>
        <w:spacing w:line="0" w:lineRule="atLeast"/>
        <w:ind w:leftChars="0"/>
        <w:jc w:val="both"/>
        <w:textAlignment w:val="auto"/>
        <w:rPr>
          <w:rFonts w:eastAsia="標楷體"/>
          <w:color w:val="000000"/>
          <w:szCs w:val="24"/>
        </w:rPr>
      </w:pPr>
      <w:r w:rsidRPr="00394339">
        <w:rPr>
          <w:rFonts w:eastAsia="標楷體"/>
          <w:color w:val="000000"/>
        </w:rPr>
        <w:t>The application shall be submitted together with the application form, complete transcripts of previous years, proof of ranking in class or department, and other information helpful for the review.</w:t>
      </w:r>
    </w:p>
    <w:p w14:paraId="20C8E9F3" w14:textId="77777777" w:rsidR="00853269" w:rsidRPr="00394339" w:rsidRDefault="00853269" w:rsidP="00366045">
      <w:pPr>
        <w:adjustRightInd/>
        <w:snapToGrid w:val="0"/>
        <w:spacing w:line="0" w:lineRule="atLeast"/>
        <w:ind w:left="480" w:hangingChars="200" w:hanging="480"/>
        <w:jc w:val="both"/>
        <w:textAlignment w:val="auto"/>
        <w:rPr>
          <w:rFonts w:eastAsia="標楷體"/>
          <w:color w:val="000000"/>
          <w:szCs w:val="24"/>
        </w:rPr>
      </w:pPr>
    </w:p>
    <w:p w14:paraId="09BA3B11" w14:textId="77777777" w:rsidR="009E63F3" w:rsidRPr="00394339" w:rsidRDefault="009E63F3" w:rsidP="009E63F3">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t>經各學術分組審核通過後，送交本系試務工作小組。</w:t>
      </w:r>
    </w:p>
    <w:p w14:paraId="56C3CAFE" w14:textId="49300AC6" w:rsidR="008434C1" w:rsidRPr="00394339" w:rsidRDefault="008434C1" w:rsidP="009E63F3">
      <w:pPr>
        <w:pStyle w:val="a6"/>
        <w:adjustRightInd/>
        <w:snapToGrid w:val="0"/>
        <w:spacing w:line="0" w:lineRule="atLeast"/>
        <w:ind w:leftChars="0"/>
        <w:jc w:val="both"/>
        <w:textAlignment w:val="auto"/>
        <w:rPr>
          <w:rFonts w:eastAsia="標楷體"/>
          <w:color w:val="000000"/>
          <w:szCs w:val="24"/>
        </w:rPr>
      </w:pPr>
      <w:r w:rsidRPr="00394339">
        <w:rPr>
          <w:rFonts w:eastAsia="標楷體"/>
          <w:color w:val="000000"/>
        </w:rPr>
        <w:t>After review and approval by the relevant academic groups, the application will be sent to the Department’s examination affairs taskforce for review.</w:t>
      </w:r>
    </w:p>
    <w:p w14:paraId="304F6990" w14:textId="77777777" w:rsidR="00853269" w:rsidRPr="00394339" w:rsidRDefault="00853269" w:rsidP="00366045">
      <w:pPr>
        <w:adjustRightInd/>
        <w:snapToGrid w:val="0"/>
        <w:spacing w:line="0" w:lineRule="atLeast"/>
        <w:ind w:left="480" w:hangingChars="200" w:hanging="480"/>
        <w:jc w:val="both"/>
        <w:textAlignment w:val="auto"/>
        <w:rPr>
          <w:rFonts w:eastAsia="標楷體"/>
          <w:color w:val="000000"/>
          <w:szCs w:val="24"/>
        </w:rPr>
      </w:pPr>
    </w:p>
    <w:p w14:paraId="5721E1BD" w14:textId="77777777" w:rsidR="009E63F3" w:rsidRPr="00394339" w:rsidRDefault="009E63F3" w:rsidP="009E63F3">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t>本系試務工作小組於每年七月底前完成審查，並公佈錄取名單。碩士預修生之錄取名額以不超過本系當年各組碩士班甄試名額之</w:t>
      </w:r>
      <w:r w:rsidRPr="00394339">
        <w:rPr>
          <w:rFonts w:eastAsia="標楷體"/>
          <w:color w:val="000000"/>
        </w:rPr>
        <w:t>50%</w:t>
      </w:r>
      <w:r w:rsidRPr="00394339">
        <w:rPr>
          <w:rFonts w:eastAsia="標楷體"/>
          <w:color w:val="000000"/>
        </w:rPr>
        <w:t>為限。</w:t>
      </w:r>
    </w:p>
    <w:p w14:paraId="71917361" w14:textId="33658BEC" w:rsidR="008434C1" w:rsidRPr="00394339" w:rsidRDefault="008434C1" w:rsidP="009E63F3">
      <w:pPr>
        <w:pStyle w:val="a6"/>
        <w:adjustRightInd/>
        <w:snapToGrid w:val="0"/>
        <w:spacing w:line="0" w:lineRule="atLeast"/>
        <w:ind w:leftChars="0"/>
        <w:jc w:val="both"/>
        <w:textAlignment w:val="auto"/>
        <w:rPr>
          <w:rFonts w:eastAsia="標楷體"/>
          <w:color w:val="000000"/>
          <w:szCs w:val="24"/>
        </w:rPr>
      </w:pPr>
      <w:r w:rsidRPr="00394339">
        <w:rPr>
          <w:rFonts w:eastAsia="標楷體"/>
          <w:color w:val="000000"/>
        </w:rPr>
        <w:t>The Department’s examination affairs taskforce will complete their reviews by the end of July each year, and announce the admission list. The number of students admitted to the pre-master’s program shall be no more than 50% of the quota for recommendation and selection of the master’s degree program for each group of the Department in the current year.</w:t>
      </w:r>
    </w:p>
    <w:p w14:paraId="740447AC" w14:textId="77777777" w:rsidR="00853269" w:rsidRPr="00394339" w:rsidRDefault="00853269" w:rsidP="00366045">
      <w:pPr>
        <w:adjustRightInd/>
        <w:snapToGrid w:val="0"/>
        <w:spacing w:line="0" w:lineRule="atLeast"/>
        <w:ind w:left="480" w:hangingChars="200" w:hanging="480"/>
        <w:jc w:val="both"/>
        <w:textAlignment w:val="auto"/>
        <w:rPr>
          <w:rFonts w:eastAsia="標楷體"/>
          <w:color w:val="000000"/>
          <w:szCs w:val="24"/>
        </w:rPr>
      </w:pPr>
    </w:p>
    <w:p w14:paraId="61E91E72" w14:textId="77777777" w:rsidR="009E63F3" w:rsidRPr="00394339" w:rsidRDefault="009E63F3" w:rsidP="009E63F3">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t>碩士預修生須於錄取當學期選定一位本系專任教師為指導教授，並繳交「指導教授確認單」。</w:t>
      </w:r>
    </w:p>
    <w:p w14:paraId="633E8000" w14:textId="70A154F4" w:rsidR="008434C1" w:rsidRPr="00394339" w:rsidRDefault="008434C1" w:rsidP="009E63F3">
      <w:pPr>
        <w:pStyle w:val="a6"/>
        <w:adjustRightInd/>
        <w:snapToGrid w:val="0"/>
        <w:spacing w:line="0" w:lineRule="atLeast"/>
        <w:ind w:leftChars="0"/>
        <w:jc w:val="both"/>
        <w:textAlignment w:val="auto"/>
        <w:rPr>
          <w:rFonts w:eastAsia="標楷體"/>
          <w:color w:val="000000"/>
          <w:szCs w:val="24"/>
        </w:rPr>
      </w:pPr>
      <w:r w:rsidRPr="00394339">
        <w:rPr>
          <w:rFonts w:eastAsia="標楷體"/>
          <w:color w:val="000000"/>
        </w:rPr>
        <w:t>The pre-master’s students shall select one full-time teacher of the Department as his/her advisor in the semester when he/she is admitted, and submit written confirmation of their advisor.</w:t>
      </w:r>
    </w:p>
    <w:p w14:paraId="6FC17D34" w14:textId="77777777" w:rsidR="00853269" w:rsidRPr="00394339" w:rsidRDefault="00853269" w:rsidP="00366045">
      <w:pPr>
        <w:adjustRightInd/>
        <w:snapToGrid w:val="0"/>
        <w:spacing w:line="0" w:lineRule="atLeast"/>
        <w:ind w:left="480" w:hangingChars="200" w:hanging="480"/>
        <w:jc w:val="both"/>
        <w:textAlignment w:val="auto"/>
        <w:rPr>
          <w:rFonts w:eastAsia="標楷體"/>
          <w:color w:val="000000"/>
          <w:szCs w:val="24"/>
        </w:rPr>
      </w:pPr>
    </w:p>
    <w:p w14:paraId="6362034B" w14:textId="77777777" w:rsidR="001E210C" w:rsidRPr="00394339" w:rsidRDefault="001E210C" w:rsidP="001E210C">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lastRenderedPageBreak/>
        <w:t>碩士預修生仍應按規定參加並通過本系當年之碩士班甄試，正式成為本系碩士班研究生。</w:t>
      </w:r>
    </w:p>
    <w:p w14:paraId="6CED21BC" w14:textId="1EDD7BC7" w:rsidR="008434C1" w:rsidRPr="00394339" w:rsidRDefault="008434C1" w:rsidP="001E210C">
      <w:pPr>
        <w:pStyle w:val="a6"/>
        <w:adjustRightInd/>
        <w:snapToGrid w:val="0"/>
        <w:spacing w:line="0" w:lineRule="atLeast"/>
        <w:ind w:leftChars="0"/>
        <w:jc w:val="both"/>
        <w:textAlignment w:val="auto"/>
        <w:rPr>
          <w:rFonts w:eastAsia="標楷體"/>
          <w:color w:val="000000"/>
          <w:szCs w:val="24"/>
        </w:rPr>
      </w:pPr>
      <w:r w:rsidRPr="00394339">
        <w:rPr>
          <w:rFonts w:eastAsia="標楷體"/>
          <w:color w:val="000000"/>
        </w:rPr>
        <w:t>The pre-master’s program students shall still take and pass the recommendation and selection of the Department’s master’s degree program in the current year to officially become master’s degree students of the Department.</w:t>
      </w:r>
    </w:p>
    <w:p w14:paraId="60340E39" w14:textId="77777777" w:rsidR="00853269" w:rsidRPr="00394339" w:rsidRDefault="00853269" w:rsidP="00366045">
      <w:pPr>
        <w:adjustRightInd/>
        <w:snapToGrid w:val="0"/>
        <w:spacing w:line="0" w:lineRule="atLeast"/>
        <w:ind w:left="480" w:hangingChars="200" w:hanging="480"/>
        <w:jc w:val="both"/>
        <w:textAlignment w:val="auto"/>
        <w:rPr>
          <w:rFonts w:eastAsia="標楷體"/>
          <w:color w:val="000000"/>
          <w:szCs w:val="24"/>
        </w:rPr>
      </w:pPr>
    </w:p>
    <w:p w14:paraId="28124BE8" w14:textId="77777777" w:rsidR="001E210C" w:rsidRPr="00394339" w:rsidRDefault="001E210C" w:rsidP="001E210C">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t>碩士預修生於學士班期間選修之研究所課程專業學分，扣除計入學士班畢業學分之外，經過本系抵免學分審核通過後，悉數可抵免碩士班研究生應修之專業學分數。取得本系學士、碩士學位之其他條件，依本系「大學部學生修讀學位辦法」與「碩士班研究生修業規章」辦理。</w:t>
      </w:r>
    </w:p>
    <w:p w14:paraId="48129452" w14:textId="60561CA3" w:rsidR="008434C1" w:rsidRPr="00394339" w:rsidRDefault="008434C1" w:rsidP="001E210C">
      <w:pPr>
        <w:pStyle w:val="a6"/>
        <w:adjustRightInd/>
        <w:snapToGrid w:val="0"/>
        <w:spacing w:line="0" w:lineRule="atLeast"/>
        <w:ind w:leftChars="0"/>
        <w:jc w:val="both"/>
        <w:textAlignment w:val="auto"/>
        <w:rPr>
          <w:rFonts w:eastAsia="標楷體"/>
          <w:color w:val="000000"/>
          <w:szCs w:val="24"/>
        </w:rPr>
      </w:pPr>
      <w:r w:rsidRPr="00394339">
        <w:rPr>
          <w:rFonts w:eastAsia="標楷體"/>
          <w:color w:val="000000"/>
        </w:rPr>
        <w:t>The elective professional course credits from the master’s degree program taken by a pre-master program student during his/her study in the bachelor’s degree program, less the credits included in the bachelor’s degree p</w:t>
      </w:r>
      <w:bookmarkStart w:id="0" w:name="_GoBack"/>
      <w:bookmarkEnd w:id="0"/>
      <w:r w:rsidRPr="00394339">
        <w:rPr>
          <w:rFonts w:eastAsia="標楷體"/>
          <w:color w:val="000000"/>
        </w:rPr>
        <w:t>rogram’s graduation credits may, subject to the Department’s review and approval, all offset the credits of professional courses required to be taken by a master degree program's student. The other requirements to obtain a bachelor’s/master’s degree from the Department shall be governed by the Department's Regulations on Degree Study for Undergraduate Students and Regulations for Study in Master’s Degree Program.</w:t>
      </w:r>
    </w:p>
    <w:p w14:paraId="0BD0F20C" w14:textId="77777777" w:rsidR="00853269" w:rsidRPr="00394339" w:rsidRDefault="00853269" w:rsidP="00366045">
      <w:pPr>
        <w:adjustRightInd/>
        <w:snapToGrid w:val="0"/>
        <w:spacing w:line="0" w:lineRule="atLeast"/>
        <w:ind w:left="480" w:hangingChars="200" w:hanging="480"/>
        <w:jc w:val="both"/>
        <w:textAlignment w:val="auto"/>
        <w:rPr>
          <w:rFonts w:eastAsia="標楷體"/>
          <w:color w:val="000000"/>
          <w:szCs w:val="24"/>
        </w:rPr>
      </w:pPr>
    </w:p>
    <w:p w14:paraId="3E2745E3" w14:textId="77777777" w:rsidR="001E210C" w:rsidRPr="00394339" w:rsidRDefault="001E210C" w:rsidP="001E210C">
      <w:pPr>
        <w:pStyle w:val="a6"/>
        <w:numPr>
          <w:ilvl w:val="0"/>
          <w:numId w:val="7"/>
        </w:numPr>
        <w:adjustRightInd/>
        <w:snapToGrid w:val="0"/>
        <w:spacing w:line="0" w:lineRule="atLeast"/>
        <w:ind w:leftChars="0"/>
        <w:jc w:val="both"/>
        <w:textAlignment w:val="auto"/>
        <w:rPr>
          <w:rFonts w:eastAsia="標楷體"/>
          <w:color w:val="000000"/>
          <w:szCs w:val="24"/>
        </w:rPr>
      </w:pPr>
      <w:r w:rsidRPr="00394339">
        <w:rPr>
          <w:rFonts w:eastAsia="標楷體"/>
          <w:color w:val="000000"/>
        </w:rPr>
        <w:t>本辦法經本系系務會議通過後實施，修訂時亦同。</w:t>
      </w:r>
    </w:p>
    <w:p w14:paraId="69E26B2E" w14:textId="22EE4E11" w:rsidR="008434C1" w:rsidRPr="00394339" w:rsidRDefault="008434C1" w:rsidP="001E210C">
      <w:pPr>
        <w:pStyle w:val="a6"/>
        <w:adjustRightInd/>
        <w:snapToGrid w:val="0"/>
        <w:spacing w:line="0" w:lineRule="atLeast"/>
        <w:ind w:leftChars="0"/>
        <w:jc w:val="both"/>
        <w:textAlignment w:val="auto"/>
        <w:rPr>
          <w:rFonts w:eastAsia="標楷體"/>
          <w:color w:val="000000"/>
          <w:szCs w:val="24"/>
        </w:rPr>
      </w:pPr>
      <w:r w:rsidRPr="00394339">
        <w:rPr>
          <w:rFonts w:eastAsia="標楷體"/>
          <w:color w:val="000000"/>
        </w:rPr>
        <w:t>These Regulations shall be enforced upon approval of the Department Affairs Committee Meeting. The same shall apply where these Regulations are amended.</w:t>
      </w:r>
    </w:p>
    <w:sectPr w:rsidR="008434C1" w:rsidRPr="00394339" w:rsidSect="00394339">
      <w:pgSz w:w="11906" w:h="16838"/>
      <w:pgMar w:top="1134" w:right="1134" w:bottom="1134"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591D" w14:textId="77777777" w:rsidR="004E26CB" w:rsidRDefault="004E26CB">
      <w:r>
        <w:separator/>
      </w:r>
    </w:p>
  </w:endnote>
  <w:endnote w:type="continuationSeparator" w:id="0">
    <w:p w14:paraId="42054078" w14:textId="77777777" w:rsidR="004E26CB" w:rsidRDefault="004E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87ED" w14:textId="77777777" w:rsidR="004E26CB" w:rsidRDefault="004E26CB">
      <w:r>
        <w:separator/>
      </w:r>
    </w:p>
  </w:footnote>
  <w:footnote w:type="continuationSeparator" w:id="0">
    <w:p w14:paraId="3410781B" w14:textId="77777777" w:rsidR="004E26CB" w:rsidRDefault="004E2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08A"/>
    <w:multiLevelType w:val="hybridMultilevel"/>
    <w:tmpl w:val="4CEC6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F31E40"/>
    <w:multiLevelType w:val="singleLevel"/>
    <w:tmpl w:val="4B16E20A"/>
    <w:lvl w:ilvl="0">
      <w:start w:val="2"/>
      <w:numFmt w:val="taiwaneseCountingThousand"/>
      <w:lvlText w:val="%1、"/>
      <w:legacy w:legacy="1" w:legacySpace="0" w:legacyIndent="480"/>
      <w:lvlJc w:val="left"/>
      <w:pPr>
        <w:ind w:left="480" w:hanging="480"/>
      </w:pPr>
      <w:rPr>
        <w:rFonts w:ascii="細明體" w:eastAsia="細明體" w:hint="eastAsia"/>
        <w:b w:val="0"/>
        <w:i w:val="0"/>
        <w:sz w:val="24"/>
        <w:u w:val="none"/>
      </w:rPr>
    </w:lvl>
  </w:abstractNum>
  <w:abstractNum w:abstractNumId="2" w15:restartNumberingAfterBreak="0">
    <w:nsid w:val="17B831A8"/>
    <w:multiLevelType w:val="singleLevel"/>
    <w:tmpl w:val="572A4992"/>
    <w:lvl w:ilvl="0">
      <w:start w:val="1"/>
      <w:numFmt w:val="decimal"/>
      <w:lvlText w:val="%1."/>
      <w:legacy w:legacy="1" w:legacySpace="0" w:legacyIndent="240"/>
      <w:lvlJc w:val="left"/>
      <w:pPr>
        <w:ind w:left="807" w:hanging="240"/>
      </w:pPr>
      <w:rPr>
        <w:rFonts w:ascii="細明體" w:eastAsia="細明體" w:hint="eastAsia"/>
        <w:b w:val="0"/>
        <w:i w:val="0"/>
        <w:sz w:val="24"/>
        <w:u w:val="none"/>
      </w:rPr>
    </w:lvl>
  </w:abstractNum>
  <w:abstractNum w:abstractNumId="3" w15:restartNumberingAfterBreak="0">
    <w:nsid w:val="3A00605B"/>
    <w:multiLevelType w:val="singleLevel"/>
    <w:tmpl w:val="572A4992"/>
    <w:lvl w:ilvl="0">
      <w:start w:val="1"/>
      <w:numFmt w:val="decimal"/>
      <w:lvlText w:val="%1."/>
      <w:legacy w:legacy="1" w:legacySpace="0" w:legacyIndent="240"/>
      <w:lvlJc w:val="left"/>
      <w:pPr>
        <w:ind w:left="807" w:hanging="240"/>
      </w:pPr>
      <w:rPr>
        <w:rFonts w:ascii="細明體" w:eastAsia="細明體" w:hint="eastAsia"/>
        <w:b w:val="0"/>
        <w:i w:val="0"/>
        <w:sz w:val="24"/>
        <w:u w:val="none"/>
      </w:rPr>
    </w:lvl>
  </w:abstractNum>
  <w:abstractNum w:abstractNumId="4" w15:restartNumberingAfterBreak="0">
    <w:nsid w:val="4A79560A"/>
    <w:multiLevelType w:val="multilevel"/>
    <w:tmpl w:val="2BC69268"/>
    <w:lvl w:ilvl="0">
      <w:start w:val="1"/>
      <w:numFmt w:val="taiwaneseCountingThousand"/>
      <w:lvlText w:val="%1、"/>
      <w:lvlJc w:val="left"/>
      <w:pPr>
        <w:tabs>
          <w:tab w:val="num" w:pos="1134"/>
        </w:tabs>
        <w:ind w:left="1134" w:hanging="1134"/>
      </w:pPr>
      <w:rPr>
        <w:rFonts w:ascii="Times New Roman" w:eastAsia="Times New Roman" w:hAnsi="Times New Roman" w:cs="Times New Roman"/>
        <w:b w:val="0"/>
        <w:i w:val="0"/>
        <w:color w:val="auto"/>
        <w:sz w:val="28"/>
        <w:szCs w:val="24"/>
        <w:lang w:val="en-US"/>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5" w15:restartNumberingAfterBreak="0">
    <w:nsid w:val="7497278B"/>
    <w:multiLevelType w:val="hybridMultilevel"/>
    <w:tmpl w:val="54906BAC"/>
    <w:lvl w:ilvl="0" w:tplc="04090015">
      <w:start w:val="1"/>
      <w:numFmt w:val="taiwaneseCountingThousand"/>
      <w:lvlText w:val="%1、"/>
      <w:lvlJc w:val="left"/>
      <w:pPr>
        <w:ind w:left="480" w:hanging="480"/>
      </w:pPr>
      <w:rPr>
        <w:rFonts w:hint="default"/>
      </w:rPr>
    </w:lvl>
    <w:lvl w:ilvl="1" w:tplc="1B30630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8B1788"/>
    <w:multiLevelType w:val="singleLevel"/>
    <w:tmpl w:val="F2A66B1C"/>
    <w:lvl w:ilvl="0">
      <w:start w:val="3"/>
      <w:numFmt w:val="taiwaneseCountingThousand"/>
      <w:lvlText w:val="%1、"/>
      <w:legacy w:legacy="1" w:legacySpace="0" w:legacyIndent="480"/>
      <w:lvlJc w:val="left"/>
      <w:pPr>
        <w:ind w:left="480" w:hanging="480"/>
      </w:pPr>
      <w:rPr>
        <w:rFonts w:ascii="細明體" w:eastAsia="細明體" w:hint="eastAsia"/>
        <w:b w:val="0"/>
        <w:i w:val="0"/>
        <w:sz w:val="24"/>
        <w:u w:val="none"/>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14"/>
    <w:rsid w:val="000C2547"/>
    <w:rsid w:val="00122ECC"/>
    <w:rsid w:val="001967F2"/>
    <w:rsid w:val="001A5EB0"/>
    <w:rsid w:val="001E210C"/>
    <w:rsid w:val="00202EE8"/>
    <w:rsid w:val="002113D9"/>
    <w:rsid w:val="00214284"/>
    <w:rsid w:val="002B5CB6"/>
    <w:rsid w:val="002C09C2"/>
    <w:rsid w:val="002F0444"/>
    <w:rsid w:val="00366045"/>
    <w:rsid w:val="00366792"/>
    <w:rsid w:val="00394339"/>
    <w:rsid w:val="003B75B3"/>
    <w:rsid w:val="003C00D4"/>
    <w:rsid w:val="00476B88"/>
    <w:rsid w:val="004B1714"/>
    <w:rsid w:val="004E15A3"/>
    <w:rsid w:val="004E26CB"/>
    <w:rsid w:val="00577CFF"/>
    <w:rsid w:val="005A5468"/>
    <w:rsid w:val="005E7AF8"/>
    <w:rsid w:val="006C59D5"/>
    <w:rsid w:val="0070488A"/>
    <w:rsid w:val="007137DF"/>
    <w:rsid w:val="00722A22"/>
    <w:rsid w:val="007805E8"/>
    <w:rsid w:val="007F33E8"/>
    <w:rsid w:val="008434C1"/>
    <w:rsid w:val="00853269"/>
    <w:rsid w:val="009E63F3"/>
    <w:rsid w:val="009F2CEF"/>
    <w:rsid w:val="00A2636C"/>
    <w:rsid w:val="00A9395D"/>
    <w:rsid w:val="00AA736A"/>
    <w:rsid w:val="00BD061F"/>
    <w:rsid w:val="00C12C06"/>
    <w:rsid w:val="00C50972"/>
    <w:rsid w:val="00CB2C6A"/>
    <w:rsid w:val="00CC4D23"/>
    <w:rsid w:val="00CF04BF"/>
    <w:rsid w:val="00D05225"/>
    <w:rsid w:val="00DD13DE"/>
    <w:rsid w:val="00DE3480"/>
    <w:rsid w:val="00DF1B8D"/>
    <w:rsid w:val="00F75508"/>
    <w:rsid w:val="00F82011"/>
    <w:rsid w:val="00FA3815"/>
    <w:rsid w:val="00FB7CA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1D8FD"/>
  <w15:chartTrackingRefBased/>
  <w15:docId w15:val="{85C8E124-2677-457E-97F5-7CFA2199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character" w:customStyle="1" w:styleId="a5">
    <w:name w:val="頁尾 字元"/>
    <w:link w:val="a4"/>
    <w:uiPriority w:val="99"/>
    <w:rsid w:val="00DF1B8D"/>
  </w:style>
  <w:style w:type="paragraph" w:styleId="a6">
    <w:name w:val="List Paragraph"/>
    <w:basedOn w:val="a"/>
    <w:uiPriority w:val="34"/>
    <w:qFormat/>
    <w:rsid w:val="003B75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3077</Characters>
  <Application>Microsoft Office Word</Application>
  <DocSecurity>0</DocSecurity>
  <Lines>25</Lines>
  <Paragraphs>7</Paragraphs>
  <ScaleCrop>false</ScaleCrop>
  <Company>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國立交通大學土木工程學系甄選入學面試辦法</dc:title>
  <dc:subject/>
  <dc:creator>user</dc:creator>
  <cp:keywords/>
  <dc:description/>
  <cp:lastModifiedBy>user</cp:lastModifiedBy>
  <cp:revision>9</cp:revision>
  <cp:lastPrinted>2007-09-07T03:14:00Z</cp:lastPrinted>
  <dcterms:created xsi:type="dcterms:W3CDTF">2022-07-05T09:50:00Z</dcterms:created>
  <dcterms:modified xsi:type="dcterms:W3CDTF">2022-08-03T08:32:00Z</dcterms:modified>
</cp:coreProperties>
</file>