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83632" w14:textId="77777777" w:rsidR="00064F95" w:rsidRPr="00F820DE" w:rsidRDefault="00064F95" w:rsidP="00304270">
      <w:pPr>
        <w:widowControl/>
        <w:pBdr>
          <w:bottom w:val="thickThinSmallGap" w:sz="24" w:space="1" w:color="auto"/>
        </w:pBdr>
        <w:spacing w:line="0" w:lineRule="atLeast"/>
        <w:jc w:val="center"/>
        <w:textAlignment w:val="bottom"/>
        <w:rPr>
          <w:rFonts w:eastAsia="標楷體"/>
          <w:color w:val="000000"/>
          <w:sz w:val="32"/>
          <w:szCs w:val="36"/>
        </w:rPr>
      </w:pPr>
      <w:r w:rsidRPr="00F820DE">
        <w:rPr>
          <w:rFonts w:eastAsia="標楷體"/>
          <w:color w:val="000000"/>
          <w:sz w:val="32"/>
        </w:rPr>
        <w:t>國立陽明交通大學土木工程學系</w:t>
      </w:r>
      <w:proofErr w:type="gramStart"/>
      <w:r w:rsidRPr="00F820DE">
        <w:rPr>
          <w:rFonts w:eastAsia="標楷體"/>
          <w:color w:val="000000"/>
          <w:sz w:val="32"/>
        </w:rPr>
        <w:t>逕</w:t>
      </w:r>
      <w:proofErr w:type="gramEnd"/>
      <w:r w:rsidRPr="00F820DE">
        <w:rPr>
          <w:rFonts w:eastAsia="標楷體"/>
          <w:color w:val="000000"/>
          <w:sz w:val="32"/>
        </w:rPr>
        <w:t>修讀博士學位作業規定</w:t>
      </w:r>
    </w:p>
    <w:p w14:paraId="55DA3213" w14:textId="5A4A9154" w:rsidR="00F820DE" w:rsidRDefault="00F820DE" w:rsidP="00304270">
      <w:pPr>
        <w:widowControl/>
        <w:pBdr>
          <w:bottom w:val="thickThinSmallGap" w:sz="24" w:space="1" w:color="auto"/>
        </w:pBdr>
        <w:spacing w:line="0" w:lineRule="atLeast"/>
        <w:jc w:val="center"/>
        <w:textAlignment w:val="bottom"/>
        <w:rPr>
          <w:rFonts w:eastAsia="標楷體"/>
          <w:color w:val="000000"/>
          <w:sz w:val="32"/>
        </w:rPr>
      </w:pPr>
      <w:r w:rsidRPr="00F820DE">
        <w:rPr>
          <w:rFonts w:eastAsia="標楷體"/>
          <w:color w:val="000000"/>
          <w:sz w:val="32"/>
        </w:rPr>
        <w:t>Department of Civil Engineering</w:t>
      </w:r>
    </w:p>
    <w:p w14:paraId="53CB3871" w14:textId="1A29EF9E" w:rsidR="00F820DE" w:rsidRDefault="009453AA" w:rsidP="00304270">
      <w:pPr>
        <w:widowControl/>
        <w:pBdr>
          <w:bottom w:val="thickThinSmallGap" w:sz="24" w:space="1" w:color="auto"/>
        </w:pBdr>
        <w:spacing w:line="0" w:lineRule="atLeast"/>
        <w:jc w:val="center"/>
        <w:textAlignment w:val="bottom"/>
        <w:rPr>
          <w:rFonts w:eastAsia="標楷體"/>
          <w:color w:val="000000"/>
          <w:sz w:val="32"/>
        </w:rPr>
      </w:pPr>
      <w:r w:rsidRPr="00F820DE">
        <w:rPr>
          <w:rFonts w:eastAsia="標楷體"/>
          <w:color w:val="000000"/>
          <w:sz w:val="32"/>
        </w:rPr>
        <w:t xml:space="preserve">National Yang Ming </w:t>
      </w:r>
      <w:proofErr w:type="spellStart"/>
      <w:r w:rsidRPr="00F820DE">
        <w:rPr>
          <w:rFonts w:eastAsia="標楷體"/>
          <w:color w:val="000000"/>
          <w:sz w:val="32"/>
        </w:rPr>
        <w:t>Chiao</w:t>
      </w:r>
      <w:proofErr w:type="spellEnd"/>
      <w:r w:rsidRPr="00F820DE">
        <w:rPr>
          <w:rFonts w:eastAsia="標楷體"/>
          <w:color w:val="000000"/>
          <w:sz w:val="32"/>
        </w:rPr>
        <w:t xml:space="preserve"> Tung University </w:t>
      </w:r>
    </w:p>
    <w:p w14:paraId="2603F7A7" w14:textId="0D74C58C" w:rsidR="009453AA" w:rsidRPr="00F820DE" w:rsidRDefault="009453AA" w:rsidP="00304270">
      <w:pPr>
        <w:widowControl/>
        <w:pBdr>
          <w:bottom w:val="thickThinSmallGap" w:sz="24" w:space="1" w:color="auto"/>
        </w:pBdr>
        <w:spacing w:line="0" w:lineRule="atLeast"/>
        <w:jc w:val="center"/>
        <w:textAlignment w:val="bottom"/>
        <w:rPr>
          <w:rFonts w:eastAsia="標楷體"/>
          <w:iCs/>
          <w:color w:val="000000"/>
          <w:sz w:val="32"/>
          <w:szCs w:val="36"/>
        </w:rPr>
      </w:pPr>
      <w:r w:rsidRPr="00F820DE">
        <w:rPr>
          <w:rFonts w:eastAsia="標楷體"/>
          <w:color w:val="000000"/>
          <w:sz w:val="32"/>
        </w:rPr>
        <w:t>Regulations for Direct Admission to PhD Program</w:t>
      </w:r>
    </w:p>
    <w:p w14:paraId="01409332" w14:textId="77777777" w:rsidR="003162F0" w:rsidRPr="00F820DE" w:rsidRDefault="00F32174" w:rsidP="00304270">
      <w:pPr>
        <w:adjustRightInd w:val="0"/>
        <w:snapToGrid w:val="0"/>
        <w:spacing w:line="0" w:lineRule="atLeast"/>
        <w:jc w:val="right"/>
        <w:rPr>
          <w:rFonts w:eastAsia="標楷體"/>
          <w:bCs/>
          <w:color w:val="000000"/>
          <w:sz w:val="20"/>
          <w:szCs w:val="20"/>
        </w:rPr>
      </w:pPr>
      <w:r w:rsidRPr="00F820DE">
        <w:rPr>
          <w:rFonts w:eastAsia="標楷體"/>
          <w:color w:val="000000"/>
          <w:sz w:val="20"/>
        </w:rPr>
        <w:t>2021</w:t>
      </w:r>
      <w:r w:rsidRPr="00F820DE">
        <w:rPr>
          <w:rFonts w:eastAsia="標楷體"/>
          <w:color w:val="000000"/>
          <w:sz w:val="20"/>
        </w:rPr>
        <w:t>年</w:t>
      </w:r>
      <w:r w:rsidRPr="00F820DE">
        <w:rPr>
          <w:rFonts w:eastAsia="標楷體"/>
          <w:color w:val="000000"/>
          <w:sz w:val="20"/>
        </w:rPr>
        <w:t>11</w:t>
      </w:r>
      <w:r w:rsidRPr="00F820DE">
        <w:rPr>
          <w:rFonts w:eastAsia="標楷體"/>
          <w:color w:val="000000"/>
          <w:sz w:val="20"/>
        </w:rPr>
        <w:t>月</w:t>
      </w:r>
      <w:r w:rsidRPr="00F820DE">
        <w:rPr>
          <w:rFonts w:eastAsia="標楷體"/>
          <w:color w:val="000000"/>
          <w:sz w:val="20"/>
        </w:rPr>
        <w:t>17</w:t>
      </w:r>
      <w:r w:rsidRPr="00F820DE">
        <w:rPr>
          <w:rFonts w:eastAsia="標楷體"/>
          <w:color w:val="000000"/>
          <w:sz w:val="20"/>
        </w:rPr>
        <w:t>日</w:t>
      </w:r>
      <w:r w:rsidRPr="00F820DE">
        <w:rPr>
          <w:rFonts w:eastAsia="標楷體"/>
          <w:color w:val="000000"/>
          <w:sz w:val="20"/>
        </w:rPr>
        <w:t>110</w:t>
      </w:r>
      <w:r w:rsidRPr="00F820DE">
        <w:rPr>
          <w:rFonts w:eastAsia="標楷體"/>
          <w:color w:val="000000"/>
          <w:sz w:val="20"/>
        </w:rPr>
        <w:t>學年度第</w:t>
      </w:r>
      <w:r w:rsidRPr="00F820DE">
        <w:rPr>
          <w:rFonts w:eastAsia="標楷體"/>
          <w:color w:val="000000"/>
          <w:sz w:val="20"/>
        </w:rPr>
        <w:t>1</w:t>
      </w:r>
      <w:r w:rsidRPr="00F820DE">
        <w:rPr>
          <w:rFonts w:eastAsia="標楷體"/>
          <w:color w:val="000000"/>
          <w:sz w:val="20"/>
        </w:rPr>
        <w:t>學期第</w:t>
      </w:r>
      <w:r w:rsidRPr="00F820DE">
        <w:rPr>
          <w:rFonts w:eastAsia="標楷體"/>
          <w:color w:val="000000"/>
          <w:sz w:val="20"/>
        </w:rPr>
        <w:t>3</w:t>
      </w:r>
      <w:r w:rsidRPr="00F820DE">
        <w:rPr>
          <w:rFonts w:eastAsia="標楷體"/>
          <w:color w:val="000000"/>
          <w:sz w:val="20"/>
        </w:rPr>
        <w:t>次系</w:t>
      </w:r>
      <w:proofErr w:type="gramStart"/>
      <w:r w:rsidRPr="00F820DE">
        <w:rPr>
          <w:rFonts w:eastAsia="標楷體"/>
          <w:color w:val="000000"/>
          <w:sz w:val="20"/>
        </w:rPr>
        <w:t>務</w:t>
      </w:r>
      <w:proofErr w:type="gramEnd"/>
      <w:r w:rsidRPr="00F820DE">
        <w:rPr>
          <w:rFonts w:eastAsia="標楷體"/>
          <w:color w:val="000000"/>
          <w:sz w:val="20"/>
        </w:rPr>
        <w:t>會議通過</w:t>
      </w:r>
    </w:p>
    <w:p w14:paraId="255B8A41" w14:textId="1ABCD948" w:rsidR="009453AA" w:rsidRPr="00F820DE" w:rsidRDefault="00F820DE" w:rsidP="00304270">
      <w:pPr>
        <w:adjustRightInd w:val="0"/>
        <w:snapToGrid w:val="0"/>
        <w:spacing w:line="0" w:lineRule="atLeast"/>
        <w:jc w:val="right"/>
        <w:rPr>
          <w:rFonts w:eastAsia="標楷體"/>
          <w:bCs/>
          <w:color w:val="000000"/>
          <w:sz w:val="20"/>
          <w:szCs w:val="20"/>
        </w:rPr>
      </w:pPr>
      <w:r>
        <w:rPr>
          <w:rFonts w:eastAsia="標楷體"/>
          <w:color w:val="000000"/>
          <w:sz w:val="20"/>
        </w:rPr>
        <w:t>Passed by</w:t>
      </w:r>
      <w:r w:rsidR="009453AA" w:rsidRPr="00F820DE">
        <w:rPr>
          <w:rFonts w:eastAsia="標楷體"/>
          <w:color w:val="000000"/>
          <w:sz w:val="20"/>
        </w:rPr>
        <w:t xml:space="preserve"> the 3rd Department Affairs eeting of the 1st Semester of Academic Year 2021 on November 17, 2021</w:t>
      </w:r>
    </w:p>
    <w:p w14:paraId="0FC796E9" w14:textId="77777777" w:rsidR="00304270" w:rsidRPr="00F820DE" w:rsidRDefault="00304270" w:rsidP="00304270">
      <w:pPr>
        <w:adjustRightInd w:val="0"/>
        <w:snapToGrid w:val="0"/>
        <w:spacing w:line="0" w:lineRule="atLeast"/>
        <w:jc w:val="right"/>
        <w:rPr>
          <w:rFonts w:eastAsia="標楷體"/>
          <w:bCs/>
          <w:color w:val="000000"/>
          <w:sz w:val="20"/>
          <w:szCs w:val="20"/>
        </w:rPr>
      </w:pPr>
    </w:p>
    <w:p w14:paraId="43D3B615" w14:textId="77777777" w:rsidR="00034153" w:rsidRPr="00F820DE" w:rsidRDefault="00B22D3B" w:rsidP="00304270">
      <w:pPr>
        <w:pStyle w:val="Web"/>
        <w:numPr>
          <w:ilvl w:val="0"/>
          <w:numId w:val="31"/>
        </w:numPr>
        <w:tabs>
          <w:tab w:val="left" w:pos="567"/>
        </w:tabs>
        <w:spacing w:before="0" w:beforeAutospacing="0" w:after="0" w:afterAutospacing="0" w:line="0" w:lineRule="atLeast"/>
        <w:ind w:left="567" w:hanging="567"/>
        <w:jc w:val="both"/>
        <w:rPr>
          <w:rFonts w:ascii="Times New Roman" w:eastAsia="標楷體" w:hAnsi="Times New Roman" w:cs="Times New Roman"/>
          <w:color w:val="000000"/>
        </w:rPr>
      </w:pPr>
      <w:r w:rsidRPr="00F820DE">
        <w:rPr>
          <w:rFonts w:ascii="Times New Roman" w:eastAsia="標楷體" w:hAnsi="Times New Roman" w:cs="Times New Roman"/>
          <w:color w:val="000000"/>
        </w:rPr>
        <w:t>本作業規定係依大學法、教育部發佈之【學生逕修讀博士學位辦法】與【國立陽明交通大學學生逕修讀博士學位作業規定】訂定之。</w:t>
      </w:r>
    </w:p>
    <w:p w14:paraId="2BFD1A23" w14:textId="77777777" w:rsidR="009453AA" w:rsidRPr="00F820DE" w:rsidRDefault="009453AA" w:rsidP="00304270">
      <w:pPr>
        <w:pStyle w:val="Web"/>
        <w:tabs>
          <w:tab w:val="left" w:pos="567"/>
        </w:tabs>
        <w:spacing w:before="0" w:beforeAutospacing="0" w:after="0" w:afterAutospacing="0" w:line="0" w:lineRule="atLeast"/>
        <w:ind w:left="567"/>
        <w:jc w:val="both"/>
        <w:rPr>
          <w:rFonts w:ascii="Times New Roman" w:eastAsia="標楷體" w:hAnsi="Times New Roman" w:cs="Times New Roman"/>
          <w:color w:val="000000"/>
        </w:rPr>
      </w:pPr>
      <w:r w:rsidRPr="00F820DE">
        <w:rPr>
          <w:rFonts w:ascii="Times New Roman" w:eastAsia="標楷體" w:hAnsi="Times New Roman" w:cs="Times New Roman"/>
          <w:color w:val="000000"/>
        </w:rPr>
        <w:t xml:space="preserve">These Regulations are adopted in accordance with the University Act, the Regulations on Direct Admission of Students to PhD Program promulgated by the Ministry of Education, and the National Yang Ming </w:t>
      </w:r>
      <w:proofErr w:type="spellStart"/>
      <w:r w:rsidRPr="00F820DE">
        <w:rPr>
          <w:rFonts w:ascii="Times New Roman" w:eastAsia="標楷體" w:hAnsi="Times New Roman" w:cs="Times New Roman"/>
          <w:color w:val="000000"/>
        </w:rPr>
        <w:t>Chiao</w:t>
      </w:r>
      <w:proofErr w:type="spellEnd"/>
      <w:r w:rsidRPr="00F820DE">
        <w:rPr>
          <w:rFonts w:ascii="Times New Roman" w:eastAsia="標楷體" w:hAnsi="Times New Roman" w:cs="Times New Roman"/>
          <w:color w:val="000000"/>
        </w:rPr>
        <w:t xml:space="preserve"> Tung University Regulations for Direct Admission to PhD Program.</w:t>
      </w:r>
    </w:p>
    <w:p w14:paraId="27E06C0F" w14:textId="77777777" w:rsidR="00A62240" w:rsidRPr="00F820DE" w:rsidRDefault="00A62240" w:rsidP="00304270">
      <w:pPr>
        <w:tabs>
          <w:tab w:val="left" w:pos="426"/>
          <w:tab w:val="left" w:pos="476"/>
          <w:tab w:val="left" w:pos="567"/>
        </w:tabs>
        <w:snapToGrid w:val="0"/>
        <w:spacing w:line="0" w:lineRule="atLeast"/>
        <w:jc w:val="both"/>
        <w:rPr>
          <w:rFonts w:eastAsia="標楷體"/>
          <w:color w:val="000000"/>
          <w:kern w:val="0"/>
        </w:rPr>
      </w:pPr>
    </w:p>
    <w:p w14:paraId="679E4FE4" w14:textId="77777777" w:rsidR="004375C7" w:rsidRPr="00F820DE" w:rsidRDefault="00A62240" w:rsidP="00304270">
      <w:pPr>
        <w:numPr>
          <w:ilvl w:val="0"/>
          <w:numId w:val="31"/>
        </w:numPr>
        <w:tabs>
          <w:tab w:val="left" w:pos="476"/>
          <w:tab w:val="left" w:pos="567"/>
          <w:tab w:val="left" w:pos="709"/>
          <w:tab w:val="left" w:pos="851"/>
        </w:tabs>
        <w:snapToGrid w:val="0"/>
        <w:spacing w:line="0" w:lineRule="atLeast"/>
        <w:ind w:left="567" w:hanging="567"/>
        <w:jc w:val="both"/>
        <w:rPr>
          <w:rFonts w:eastAsia="標楷體"/>
        </w:rPr>
      </w:pPr>
      <w:r w:rsidRPr="00F820DE">
        <w:rPr>
          <w:rFonts w:eastAsia="標楷體"/>
          <w:color w:val="000000"/>
        </w:rPr>
        <w:t>每學年</w:t>
      </w:r>
      <w:proofErr w:type="gramStart"/>
      <w:r w:rsidRPr="00F820DE">
        <w:rPr>
          <w:rFonts w:eastAsia="標楷體"/>
          <w:color w:val="000000"/>
        </w:rPr>
        <w:t>逕</w:t>
      </w:r>
      <w:proofErr w:type="gramEnd"/>
      <w:r w:rsidRPr="00F820DE">
        <w:rPr>
          <w:rFonts w:eastAsia="標楷體"/>
          <w:color w:val="000000"/>
        </w:rPr>
        <w:t>修讀博士學位名額，以本系當學年度教育部核定博士班招生名額百分之四十（不足一名部分均以一名計）為限，並得於學院內流用。但核定招生名額不足五名者，</w:t>
      </w:r>
      <w:proofErr w:type="gramStart"/>
      <w:r w:rsidRPr="00F820DE">
        <w:rPr>
          <w:rFonts w:eastAsia="標楷體"/>
          <w:color w:val="000000"/>
        </w:rPr>
        <w:t>逕</w:t>
      </w:r>
      <w:proofErr w:type="gramEnd"/>
      <w:r w:rsidRPr="00F820DE">
        <w:rPr>
          <w:rFonts w:eastAsia="標楷體"/>
          <w:color w:val="000000"/>
        </w:rPr>
        <w:t>修讀博士學位名額至多以二名為限。</w:t>
      </w:r>
    </w:p>
    <w:p w14:paraId="3F6BD2DE" w14:textId="77777777" w:rsidR="009453AA" w:rsidRPr="00F820DE" w:rsidRDefault="009453AA" w:rsidP="00304270">
      <w:pPr>
        <w:tabs>
          <w:tab w:val="left" w:pos="476"/>
          <w:tab w:val="left" w:pos="567"/>
          <w:tab w:val="left" w:pos="709"/>
          <w:tab w:val="left" w:pos="851"/>
        </w:tabs>
        <w:snapToGrid w:val="0"/>
        <w:spacing w:line="0" w:lineRule="atLeast"/>
        <w:ind w:left="567"/>
        <w:jc w:val="both"/>
        <w:rPr>
          <w:rFonts w:eastAsia="標楷體"/>
        </w:rPr>
      </w:pPr>
      <w:r w:rsidRPr="00F820DE">
        <w:rPr>
          <w:rFonts w:eastAsia="標楷體"/>
          <w:color w:val="000000"/>
        </w:rPr>
        <w:t>The number of students directly admitted to the PhD program each academic year shall not exceed 40% of the number of students approved by the Ministry of Education for admission to the PhD program of the Department in that academic year (if the number is less than 1, it should be counted as 1). Such number may be transferred between units in a college. However, if said number as approved is less than 5 students, no more than 2 students shall be directly admitted to the PhD program.</w:t>
      </w:r>
    </w:p>
    <w:p w14:paraId="26855DD9" w14:textId="77777777" w:rsidR="00A62240" w:rsidRPr="00F820DE" w:rsidRDefault="00A62240" w:rsidP="00304270">
      <w:pPr>
        <w:tabs>
          <w:tab w:val="left" w:pos="476"/>
          <w:tab w:val="left" w:pos="567"/>
          <w:tab w:val="left" w:pos="709"/>
          <w:tab w:val="left" w:pos="851"/>
        </w:tabs>
        <w:snapToGrid w:val="0"/>
        <w:spacing w:line="0" w:lineRule="atLeast"/>
        <w:ind w:left="567"/>
        <w:jc w:val="both"/>
        <w:rPr>
          <w:rFonts w:eastAsia="標楷體"/>
        </w:rPr>
      </w:pPr>
      <w:proofErr w:type="gramStart"/>
      <w:r w:rsidRPr="00F820DE">
        <w:rPr>
          <w:rFonts w:eastAsia="標楷體"/>
        </w:rPr>
        <w:t>逕</w:t>
      </w:r>
      <w:proofErr w:type="gramEnd"/>
      <w:r w:rsidRPr="00F820DE">
        <w:rPr>
          <w:rFonts w:eastAsia="標楷體"/>
        </w:rPr>
        <w:t>修讀博士學位名額應包含於當學年度教育部核定學校招生總量內。</w:t>
      </w:r>
    </w:p>
    <w:p w14:paraId="656E2772" w14:textId="77777777" w:rsidR="009453AA" w:rsidRPr="00F820DE" w:rsidRDefault="009453AA" w:rsidP="00304270">
      <w:pPr>
        <w:tabs>
          <w:tab w:val="left" w:pos="476"/>
          <w:tab w:val="left" w:pos="567"/>
          <w:tab w:val="left" w:pos="709"/>
          <w:tab w:val="left" w:pos="851"/>
        </w:tabs>
        <w:snapToGrid w:val="0"/>
        <w:spacing w:line="0" w:lineRule="atLeast"/>
        <w:ind w:left="567"/>
        <w:jc w:val="both"/>
        <w:rPr>
          <w:rFonts w:eastAsia="標楷體"/>
        </w:rPr>
      </w:pPr>
      <w:r w:rsidRPr="00F820DE">
        <w:rPr>
          <w:rFonts w:eastAsia="標楷體"/>
        </w:rPr>
        <w:t>The number of students directly admitted to the PhD program shall be included in the total number of students approved by the Ministry of Education for admission to the NYCU in each academic year.</w:t>
      </w:r>
    </w:p>
    <w:p w14:paraId="4DEC238B" w14:textId="77777777" w:rsidR="00FC439E" w:rsidRPr="00F820DE" w:rsidRDefault="00FC439E" w:rsidP="00304270">
      <w:pPr>
        <w:tabs>
          <w:tab w:val="left" w:pos="567"/>
        </w:tabs>
        <w:snapToGrid w:val="0"/>
        <w:spacing w:line="0" w:lineRule="atLeast"/>
        <w:ind w:left="480"/>
        <w:jc w:val="both"/>
        <w:rPr>
          <w:rFonts w:eastAsia="標楷體"/>
          <w:color w:val="000000"/>
        </w:rPr>
      </w:pPr>
    </w:p>
    <w:p w14:paraId="771C713F" w14:textId="77777777" w:rsidR="00A62240" w:rsidRPr="00F820DE" w:rsidRDefault="00FC439E" w:rsidP="00304270">
      <w:pPr>
        <w:numPr>
          <w:ilvl w:val="0"/>
          <w:numId w:val="31"/>
        </w:numPr>
        <w:autoSpaceDE w:val="0"/>
        <w:autoSpaceDN w:val="0"/>
        <w:adjustRightInd w:val="0"/>
        <w:spacing w:line="0" w:lineRule="atLeast"/>
        <w:ind w:left="567" w:hanging="567"/>
        <w:jc w:val="both"/>
        <w:rPr>
          <w:rFonts w:eastAsia="標楷體"/>
          <w:kern w:val="0"/>
        </w:rPr>
      </w:pPr>
      <w:r w:rsidRPr="00F820DE">
        <w:rPr>
          <w:rFonts w:eastAsia="標楷體"/>
        </w:rPr>
        <w:t>學生符合下列資格之一，並經原就讀或相關教學單位助理教授以上二人推薦，得申請</w:t>
      </w:r>
      <w:proofErr w:type="gramStart"/>
      <w:r w:rsidRPr="00F820DE">
        <w:rPr>
          <w:rFonts w:eastAsia="標楷體"/>
        </w:rPr>
        <w:t>逕</w:t>
      </w:r>
      <w:proofErr w:type="gramEnd"/>
      <w:r w:rsidRPr="00F820DE">
        <w:rPr>
          <w:rFonts w:eastAsia="標楷體"/>
        </w:rPr>
        <w:t>修讀博士學位：</w:t>
      </w:r>
    </w:p>
    <w:p w14:paraId="1931715B" w14:textId="77777777" w:rsidR="009453AA" w:rsidRPr="00F820DE" w:rsidRDefault="009453AA" w:rsidP="00304270">
      <w:pPr>
        <w:autoSpaceDE w:val="0"/>
        <w:autoSpaceDN w:val="0"/>
        <w:adjustRightInd w:val="0"/>
        <w:spacing w:line="0" w:lineRule="atLeast"/>
        <w:ind w:left="567"/>
        <w:jc w:val="both"/>
        <w:rPr>
          <w:rFonts w:eastAsia="標楷體"/>
          <w:kern w:val="0"/>
        </w:rPr>
      </w:pPr>
      <w:r w:rsidRPr="00F820DE">
        <w:rPr>
          <w:rFonts w:eastAsia="標楷體"/>
        </w:rPr>
        <w:t>Any student fulfilling any of the following requirements and who has been recommended by at least two professors at assistant or higher level from the original academic unit the student is enrolled in or a relevant academic unit may apply for direct admission to the PhD program:</w:t>
      </w:r>
    </w:p>
    <w:p w14:paraId="18D66017" w14:textId="77777777" w:rsidR="00FC439E" w:rsidRPr="00F820DE" w:rsidRDefault="00FC439E" w:rsidP="00304270">
      <w:pPr>
        <w:pStyle w:val="a7"/>
        <w:numPr>
          <w:ilvl w:val="1"/>
          <w:numId w:val="31"/>
        </w:numPr>
        <w:tabs>
          <w:tab w:val="left" w:pos="993"/>
        </w:tabs>
        <w:autoSpaceDE w:val="0"/>
        <w:autoSpaceDN w:val="0"/>
        <w:adjustRightInd w:val="0"/>
        <w:spacing w:line="0" w:lineRule="atLeast"/>
        <w:ind w:leftChars="0" w:hanging="273"/>
        <w:jc w:val="both"/>
        <w:rPr>
          <w:rFonts w:eastAsia="標楷體"/>
          <w:color w:val="000000"/>
        </w:rPr>
      </w:pPr>
      <w:proofErr w:type="spellStart"/>
      <w:r w:rsidRPr="00F820DE">
        <w:rPr>
          <w:rFonts w:eastAsia="標楷體"/>
          <w:color w:val="000000"/>
        </w:rPr>
        <w:t>學士班應屆畢業生</w:t>
      </w:r>
      <w:proofErr w:type="spellEnd"/>
      <w:r w:rsidRPr="00F820DE">
        <w:rPr>
          <w:rFonts w:eastAsia="標楷體"/>
          <w:color w:val="000000"/>
        </w:rPr>
        <w:t>(</w:t>
      </w:r>
      <w:proofErr w:type="spellStart"/>
      <w:r w:rsidRPr="00F820DE">
        <w:rPr>
          <w:rFonts w:eastAsia="標楷體"/>
          <w:color w:val="000000"/>
        </w:rPr>
        <w:t>含申請提前畢業學生</w:t>
      </w:r>
      <w:proofErr w:type="spellEnd"/>
      <w:r w:rsidRPr="00F820DE">
        <w:rPr>
          <w:rFonts w:eastAsia="標楷體"/>
          <w:color w:val="000000"/>
        </w:rPr>
        <w:t>)</w:t>
      </w:r>
      <w:proofErr w:type="spellStart"/>
      <w:r w:rsidRPr="00F820DE">
        <w:rPr>
          <w:rFonts w:eastAsia="標楷體"/>
          <w:color w:val="000000"/>
        </w:rPr>
        <w:t>具下列條件之一者</w:t>
      </w:r>
      <w:proofErr w:type="spellEnd"/>
      <w:r w:rsidRPr="00F820DE">
        <w:rPr>
          <w:rFonts w:eastAsia="標楷體"/>
          <w:color w:val="000000"/>
        </w:rPr>
        <w:t>：</w:t>
      </w:r>
    </w:p>
    <w:p w14:paraId="73311663" w14:textId="77777777" w:rsidR="009453AA" w:rsidRPr="00F820DE" w:rsidRDefault="009453AA" w:rsidP="00304270">
      <w:pPr>
        <w:pStyle w:val="a7"/>
        <w:tabs>
          <w:tab w:val="left" w:pos="993"/>
        </w:tabs>
        <w:autoSpaceDE w:val="0"/>
        <w:autoSpaceDN w:val="0"/>
        <w:adjustRightInd w:val="0"/>
        <w:spacing w:line="0" w:lineRule="atLeast"/>
        <w:ind w:leftChars="0" w:left="840"/>
        <w:jc w:val="both"/>
        <w:rPr>
          <w:rFonts w:eastAsia="標楷體"/>
          <w:color w:val="000000"/>
        </w:rPr>
      </w:pPr>
      <w:r w:rsidRPr="00F820DE">
        <w:rPr>
          <w:rFonts w:eastAsia="標楷體"/>
          <w:color w:val="000000"/>
        </w:rPr>
        <w:t xml:space="preserve">Any current bachelor’s graduate (including those who apply for early graduation) who meet any of the following conditions: </w:t>
      </w:r>
    </w:p>
    <w:p w14:paraId="3D34D178" w14:textId="77777777" w:rsidR="00FC439E" w:rsidRPr="00F820DE" w:rsidRDefault="00FC439E" w:rsidP="00304270">
      <w:pPr>
        <w:pStyle w:val="Web"/>
        <w:numPr>
          <w:ilvl w:val="2"/>
          <w:numId w:val="31"/>
        </w:numPr>
        <w:tabs>
          <w:tab w:val="left" w:pos="567"/>
          <w:tab w:val="left" w:pos="709"/>
        </w:tabs>
        <w:spacing w:before="0" w:beforeAutospacing="0" w:after="0" w:afterAutospacing="0" w:line="0" w:lineRule="atLeast"/>
        <w:ind w:left="480" w:firstLineChars="236" w:firstLine="566"/>
        <w:jc w:val="both"/>
        <w:rPr>
          <w:rFonts w:ascii="Times New Roman" w:eastAsia="標楷體" w:hAnsi="Times New Roman" w:cs="Times New Roman"/>
          <w:color w:val="000000"/>
        </w:rPr>
      </w:pPr>
      <w:r w:rsidRPr="00F820DE">
        <w:rPr>
          <w:rFonts w:ascii="Times New Roman" w:eastAsia="標楷體" w:hAnsi="Times New Roman" w:cs="Times New Roman"/>
          <w:color w:val="000000"/>
        </w:rPr>
        <w:t>學業成績平均八十五分以上，具研究潛力者。</w:t>
      </w:r>
    </w:p>
    <w:p w14:paraId="2E54CC06" w14:textId="77777777" w:rsidR="009453AA" w:rsidRPr="00F820DE" w:rsidRDefault="009453AA" w:rsidP="00304270">
      <w:pPr>
        <w:pStyle w:val="Web"/>
        <w:tabs>
          <w:tab w:val="left" w:pos="567"/>
          <w:tab w:val="left" w:pos="709"/>
        </w:tabs>
        <w:spacing w:before="0" w:beforeAutospacing="0" w:after="0" w:afterAutospacing="0" w:line="0" w:lineRule="atLeast"/>
        <w:ind w:left="1046" w:firstLineChars="155" w:firstLine="372"/>
        <w:jc w:val="both"/>
        <w:rPr>
          <w:rFonts w:ascii="Times New Roman" w:eastAsia="標楷體" w:hAnsi="Times New Roman" w:cs="Times New Roman"/>
          <w:color w:val="000000"/>
        </w:rPr>
      </w:pPr>
      <w:r w:rsidRPr="00F820DE">
        <w:rPr>
          <w:rFonts w:ascii="Times New Roman" w:eastAsia="標楷體" w:hAnsi="Times New Roman" w:cs="Times New Roman"/>
          <w:color w:val="000000"/>
        </w:rPr>
        <w:t>An overall grade of 85 or more and with research potential;</w:t>
      </w:r>
    </w:p>
    <w:p w14:paraId="0623DD72" w14:textId="77777777" w:rsidR="00FC439E" w:rsidRPr="00F820DE" w:rsidRDefault="00FC439E" w:rsidP="00304270">
      <w:pPr>
        <w:pStyle w:val="Web"/>
        <w:numPr>
          <w:ilvl w:val="2"/>
          <w:numId w:val="31"/>
        </w:numPr>
        <w:tabs>
          <w:tab w:val="left" w:pos="567"/>
          <w:tab w:val="left" w:pos="709"/>
        </w:tabs>
        <w:spacing w:before="0" w:beforeAutospacing="0" w:after="0" w:afterAutospacing="0" w:line="0" w:lineRule="atLeast"/>
        <w:ind w:left="480" w:firstLineChars="236" w:firstLine="566"/>
        <w:jc w:val="both"/>
        <w:rPr>
          <w:rFonts w:ascii="Times New Roman" w:eastAsia="標楷體" w:hAnsi="Times New Roman" w:cs="Times New Roman"/>
          <w:color w:val="000000"/>
        </w:rPr>
      </w:pPr>
      <w:r w:rsidRPr="00F820DE">
        <w:rPr>
          <w:rFonts w:ascii="Times New Roman" w:eastAsia="標楷體" w:hAnsi="Times New Roman" w:cs="Times New Roman"/>
          <w:color w:val="000000"/>
        </w:rPr>
        <w:t>在該班</w:t>
      </w:r>
      <w:r w:rsidRPr="00F820DE">
        <w:rPr>
          <w:rFonts w:ascii="Times New Roman" w:eastAsia="標楷體" w:hAnsi="Times New Roman" w:cs="Times New Roman"/>
          <w:color w:val="000000"/>
        </w:rPr>
        <w:t>(</w:t>
      </w:r>
      <w:r w:rsidRPr="00F820DE">
        <w:rPr>
          <w:rFonts w:ascii="Times New Roman" w:eastAsia="標楷體" w:hAnsi="Times New Roman" w:cs="Times New Roman"/>
          <w:color w:val="000000"/>
        </w:rPr>
        <w:t>屆</w:t>
      </w:r>
      <w:r w:rsidRPr="00F820DE">
        <w:rPr>
          <w:rFonts w:ascii="Times New Roman" w:eastAsia="標楷體" w:hAnsi="Times New Roman" w:cs="Times New Roman"/>
          <w:color w:val="000000"/>
        </w:rPr>
        <w:t>)</w:t>
      </w:r>
      <w:r w:rsidRPr="00F820DE">
        <w:rPr>
          <w:rFonts w:ascii="Times New Roman" w:eastAsia="標楷體" w:hAnsi="Times New Roman" w:cs="Times New Roman"/>
          <w:color w:val="000000"/>
        </w:rPr>
        <w:t>學生前</w:t>
      </w:r>
      <w:r w:rsidRPr="00F820DE">
        <w:rPr>
          <w:rFonts w:ascii="Times New Roman" w:eastAsia="標楷體" w:hAnsi="Times New Roman" w:cs="Times New Roman"/>
          <w:color w:val="000000"/>
        </w:rPr>
        <w:t>10%</w:t>
      </w:r>
      <w:proofErr w:type="gramStart"/>
      <w:r w:rsidRPr="00F820DE">
        <w:rPr>
          <w:rFonts w:ascii="Times New Roman" w:eastAsia="標楷體" w:hAnsi="Times New Roman" w:cs="Times New Roman"/>
          <w:color w:val="000000"/>
        </w:rPr>
        <w:t>以內，</w:t>
      </w:r>
      <w:proofErr w:type="gramEnd"/>
      <w:r w:rsidRPr="00F820DE">
        <w:rPr>
          <w:rFonts w:ascii="Times New Roman" w:eastAsia="標楷體" w:hAnsi="Times New Roman" w:cs="Times New Roman"/>
          <w:color w:val="000000"/>
        </w:rPr>
        <w:t>具研究潛力者。</w:t>
      </w:r>
    </w:p>
    <w:p w14:paraId="28F31B08" w14:textId="77777777" w:rsidR="009453AA" w:rsidRPr="00F820DE" w:rsidRDefault="009453AA" w:rsidP="00304270">
      <w:pPr>
        <w:pStyle w:val="Web"/>
        <w:tabs>
          <w:tab w:val="left" w:pos="567"/>
          <w:tab w:val="left" w:pos="709"/>
        </w:tabs>
        <w:spacing w:before="0" w:beforeAutospacing="0" w:after="0" w:afterAutospacing="0" w:line="0" w:lineRule="atLeast"/>
        <w:ind w:left="1046" w:firstLineChars="155" w:firstLine="372"/>
        <w:jc w:val="both"/>
        <w:rPr>
          <w:rFonts w:ascii="Times New Roman" w:eastAsia="標楷體" w:hAnsi="Times New Roman" w:cs="Times New Roman"/>
          <w:color w:val="000000"/>
        </w:rPr>
      </w:pPr>
      <w:r w:rsidRPr="00F820DE">
        <w:rPr>
          <w:rFonts w:ascii="Times New Roman" w:eastAsia="標楷體" w:hAnsi="Times New Roman" w:cs="Times New Roman"/>
          <w:color w:val="000000"/>
        </w:rPr>
        <w:t>Rank in the top 10% of all students in the class (term) and with research potential;</w:t>
      </w:r>
    </w:p>
    <w:p w14:paraId="1160D9BA" w14:textId="77777777" w:rsidR="00FC439E" w:rsidRPr="00F820DE" w:rsidRDefault="00FC439E" w:rsidP="00304270">
      <w:pPr>
        <w:pStyle w:val="Web"/>
        <w:numPr>
          <w:ilvl w:val="2"/>
          <w:numId w:val="31"/>
        </w:numPr>
        <w:tabs>
          <w:tab w:val="left" w:pos="567"/>
          <w:tab w:val="left" w:pos="709"/>
        </w:tabs>
        <w:spacing w:before="0" w:beforeAutospacing="0" w:after="0" w:afterAutospacing="0" w:line="0" w:lineRule="atLeast"/>
        <w:ind w:left="480" w:firstLineChars="236" w:firstLine="566"/>
        <w:jc w:val="both"/>
        <w:rPr>
          <w:rFonts w:ascii="Times New Roman" w:eastAsia="標楷體" w:hAnsi="Times New Roman" w:cs="Times New Roman"/>
          <w:color w:val="000000"/>
        </w:rPr>
      </w:pPr>
      <w:r w:rsidRPr="00F820DE">
        <w:rPr>
          <w:rFonts w:ascii="Times New Roman" w:eastAsia="標楷體" w:hAnsi="Times New Roman" w:cs="Times New Roman"/>
          <w:color w:val="000000"/>
        </w:rPr>
        <w:t>經本系試</w:t>
      </w:r>
      <w:proofErr w:type="gramStart"/>
      <w:r w:rsidRPr="00F820DE">
        <w:rPr>
          <w:rFonts w:ascii="Times New Roman" w:eastAsia="標楷體" w:hAnsi="Times New Roman" w:cs="Times New Roman"/>
          <w:color w:val="000000"/>
        </w:rPr>
        <w:t>務</w:t>
      </w:r>
      <w:proofErr w:type="gramEnd"/>
      <w:r w:rsidRPr="00F820DE">
        <w:rPr>
          <w:rFonts w:ascii="Times New Roman" w:eastAsia="標楷體" w:hAnsi="Times New Roman" w:cs="Times New Roman"/>
          <w:color w:val="000000"/>
        </w:rPr>
        <w:t>工作小組評定為成績優異，具研究潛力者。</w:t>
      </w:r>
    </w:p>
    <w:p w14:paraId="4B8D638D" w14:textId="18CB6C87" w:rsidR="009453AA" w:rsidRPr="00F820DE" w:rsidRDefault="009453AA" w:rsidP="00304270">
      <w:pPr>
        <w:pStyle w:val="Web"/>
        <w:tabs>
          <w:tab w:val="left" w:pos="567"/>
          <w:tab w:val="left" w:pos="709"/>
        </w:tabs>
        <w:spacing w:before="0" w:beforeAutospacing="0" w:after="0" w:afterAutospacing="0" w:line="0" w:lineRule="atLeast"/>
        <w:ind w:left="1046" w:firstLineChars="155" w:firstLine="372"/>
        <w:jc w:val="both"/>
        <w:rPr>
          <w:rFonts w:ascii="Times New Roman" w:eastAsia="標楷體" w:hAnsi="Times New Roman" w:cs="Times New Roman"/>
          <w:color w:val="000000"/>
        </w:rPr>
      </w:pPr>
      <w:r w:rsidRPr="00F820DE">
        <w:rPr>
          <w:rFonts w:ascii="Times New Roman" w:eastAsia="標楷體" w:hAnsi="Times New Roman" w:cs="Times New Roman"/>
          <w:color w:val="000000"/>
        </w:rPr>
        <w:t>Evaluated as having outstanding performance by the Department’s examination affairs taskforce, and with research potential</w:t>
      </w:r>
      <w:r w:rsidR="00D72C1A" w:rsidRPr="00F820DE">
        <w:rPr>
          <w:rFonts w:ascii="Times New Roman" w:eastAsia="標楷體" w:hAnsi="Times New Roman" w:cs="Times New Roman"/>
          <w:color w:val="000000"/>
        </w:rPr>
        <w:t>.</w:t>
      </w:r>
    </w:p>
    <w:p w14:paraId="0A30EDCB" w14:textId="77777777" w:rsidR="002079EA" w:rsidRPr="00F820DE" w:rsidRDefault="00FC439E" w:rsidP="00304270">
      <w:pPr>
        <w:pStyle w:val="a7"/>
        <w:numPr>
          <w:ilvl w:val="1"/>
          <w:numId w:val="31"/>
        </w:numPr>
        <w:tabs>
          <w:tab w:val="left" w:pos="851"/>
        </w:tabs>
        <w:autoSpaceDE w:val="0"/>
        <w:autoSpaceDN w:val="0"/>
        <w:adjustRightInd w:val="0"/>
        <w:spacing w:line="0" w:lineRule="atLeast"/>
        <w:ind w:leftChars="0"/>
        <w:jc w:val="both"/>
        <w:rPr>
          <w:rFonts w:eastAsia="標楷體"/>
        </w:rPr>
      </w:pPr>
      <w:proofErr w:type="spellStart"/>
      <w:r w:rsidRPr="00F820DE">
        <w:rPr>
          <w:rFonts w:eastAsia="標楷體"/>
          <w:color w:val="000000"/>
        </w:rPr>
        <w:t>碩士班學生其修業期間學業成績在全班人數前二分之一</w:t>
      </w:r>
      <w:r w:rsidRPr="00F820DE">
        <w:rPr>
          <w:rFonts w:eastAsia="標楷體"/>
        </w:rPr>
        <w:t>以內，或有其他特殊情形</w:t>
      </w:r>
      <w:proofErr w:type="spellEnd"/>
      <w:r w:rsidRPr="00F820DE">
        <w:rPr>
          <w:rFonts w:eastAsia="標楷體"/>
        </w:rPr>
        <w:t>(</w:t>
      </w:r>
      <w:proofErr w:type="spellStart"/>
      <w:r w:rsidRPr="00F820DE">
        <w:rPr>
          <w:rFonts w:eastAsia="標楷體"/>
        </w:rPr>
        <w:t>如發表論文</w:t>
      </w:r>
      <w:proofErr w:type="spellEnd"/>
      <w:r w:rsidRPr="00F820DE">
        <w:rPr>
          <w:rFonts w:eastAsia="標楷體"/>
        </w:rPr>
        <w:t>)</w:t>
      </w:r>
      <w:proofErr w:type="spellStart"/>
      <w:r w:rsidRPr="00F820DE">
        <w:rPr>
          <w:rFonts w:eastAsia="標楷體"/>
        </w:rPr>
        <w:t>經本系試務工作小組評定為成績優異，並具研究潛力者</w:t>
      </w:r>
      <w:proofErr w:type="spellEnd"/>
      <w:r w:rsidRPr="00F820DE">
        <w:rPr>
          <w:rFonts w:eastAsia="標楷體"/>
        </w:rPr>
        <w:t>。</w:t>
      </w:r>
    </w:p>
    <w:p w14:paraId="121F48DC" w14:textId="77777777" w:rsidR="009453AA" w:rsidRPr="00F820DE" w:rsidRDefault="009453AA" w:rsidP="00304270">
      <w:pPr>
        <w:pStyle w:val="a7"/>
        <w:tabs>
          <w:tab w:val="left" w:pos="851"/>
        </w:tabs>
        <w:autoSpaceDE w:val="0"/>
        <w:autoSpaceDN w:val="0"/>
        <w:adjustRightInd w:val="0"/>
        <w:spacing w:line="0" w:lineRule="atLeast"/>
        <w:ind w:leftChars="0" w:left="840"/>
        <w:jc w:val="both"/>
        <w:rPr>
          <w:rFonts w:eastAsia="標楷體"/>
        </w:rPr>
      </w:pPr>
      <w:r w:rsidRPr="00F820DE">
        <w:rPr>
          <w:rFonts w:eastAsia="標楷體"/>
          <w:color w:val="000000"/>
        </w:rPr>
        <w:t>Master’s students who rank among the top 50% of their class during their studies</w:t>
      </w:r>
      <w:r w:rsidRPr="00F820DE">
        <w:rPr>
          <w:rFonts w:eastAsia="標楷體"/>
        </w:rPr>
        <w:t xml:space="preserve">, or other special cases (e.g. have previously published papers), who have been evaluated as having outstanding performance by the Department’s examination affairs taskforce and have research potential. </w:t>
      </w:r>
    </w:p>
    <w:p w14:paraId="553AD7AB" w14:textId="77777777" w:rsidR="002079EA" w:rsidRPr="00F820DE" w:rsidRDefault="002079EA" w:rsidP="00304270">
      <w:pPr>
        <w:autoSpaceDE w:val="0"/>
        <w:autoSpaceDN w:val="0"/>
        <w:adjustRightInd w:val="0"/>
        <w:spacing w:line="0" w:lineRule="atLeast"/>
        <w:ind w:leftChars="177" w:left="425" w:firstLine="1"/>
        <w:jc w:val="both"/>
        <w:rPr>
          <w:rFonts w:eastAsia="標楷體"/>
          <w:color w:val="000000"/>
          <w:kern w:val="0"/>
        </w:rPr>
      </w:pPr>
    </w:p>
    <w:p w14:paraId="4D709A5B" w14:textId="77777777" w:rsidR="00536E92" w:rsidRPr="00F820DE" w:rsidRDefault="00536E92" w:rsidP="00304270">
      <w:pPr>
        <w:pStyle w:val="Web"/>
        <w:numPr>
          <w:ilvl w:val="0"/>
          <w:numId w:val="31"/>
        </w:numPr>
        <w:tabs>
          <w:tab w:val="left" w:pos="567"/>
        </w:tabs>
        <w:spacing w:before="0" w:beforeAutospacing="0" w:after="0" w:afterAutospacing="0" w:line="0" w:lineRule="atLeast"/>
        <w:ind w:left="567" w:hanging="567"/>
        <w:jc w:val="both"/>
        <w:rPr>
          <w:rFonts w:ascii="Times New Roman" w:eastAsia="標楷體" w:hAnsi="Times New Roman" w:cs="Times New Roman"/>
          <w:color w:val="000000" w:themeColor="text1"/>
        </w:rPr>
      </w:pPr>
      <w:r w:rsidRPr="00F820DE">
        <w:rPr>
          <w:rFonts w:ascii="Times New Roman" w:eastAsia="標楷體" w:hAnsi="Times New Roman" w:cs="Times New Roman"/>
        </w:rPr>
        <w:lastRenderedPageBreak/>
        <w:t>申請</w:t>
      </w:r>
      <w:proofErr w:type="gramStart"/>
      <w:r w:rsidRPr="00F820DE">
        <w:rPr>
          <w:rFonts w:ascii="Times New Roman" w:eastAsia="標楷體" w:hAnsi="Times New Roman" w:cs="Times New Roman"/>
        </w:rPr>
        <w:t>逕</w:t>
      </w:r>
      <w:proofErr w:type="gramEnd"/>
      <w:r w:rsidRPr="00F820DE">
        <w:rPr>
          <w:rFonts w:ascii="Times New Roman" w:eastAsia="標楷體" w:hAnsi="Times New Roman" w:cs="Times New Roman"/>
        </w:rPr>
        <w:t>修讀博士學位共分兩梯次，第一梯次為第二學期結束前，第二梯次為第一學期結束前，學生應依本系當學期公告期限內提出申請，繳交資料應包含申請表、教授推薦函</w:t>
      </w:r>
      <w:r w:rsidRPr="00F820DE">
        <w:rPr>
          <w:rFonts w:ascii="Times New Roman" w:eastAsia="標楷體" w:hAnsi="Times New Roman" w:cs="Times New Roman"/>
        </w:rPr>
        <w:t>(</w:t>
      </w:r>
      <w:r w:rsidRPr="00F820DE">
        <w:rPr>
          <w:rFonts w:ascii="Times New Roman" w:eastAsia="標楷體" w:hAnsi="Times New Roman" w:cs="Times New Roman"/>
        </w:rPr>
        <w:t>二封以上</w:t>
      </w:r>
      <w:r w:rsidRPr="00F820DE">
        <w:rPr>
          <w:rFonts w:ascii="Times New Roman" w:eastAsia="標楷體" w:hAnsi="Times New Roman" w:cs="Times New Roman"/>
        </w:rPr>
        <w:t>)</w:t>
      </w:r>
      <w:r w:rsidRPr="00F820DE">
        <w:rPr>
          <w:rFonts w:ascii="Times New Roman" w:eastAsia="標楷體" w:hAnsi="Times New Roman" w:cs="Times New Roman"/>
        </w:rPr>
        <w:t>、歷年成績單</w:t>
      </w:r>
      <w:r w:rsidRPr="00F820DE">
        <w:rPr>
          <w:rFonts w:ascii="Times New Roman" w:eastAsia="標楷體" w:hAnsi="Times New Roman" w:cs="Times New Roman"/>
        </w:rPr>
        <w:t>(</w:t>
      </w:r>
      <w:r w:rsidRPr="00F820DE">
        <w:rPr>
          <w:rFonts w:ascii="Times New Roman" w:eastAsia="標楷體" w:hAnsi="Times New Roman" w:cs="Times New Roman"/>
        </w:rPr>
        <w:t>含各學期名次證明</w:t>
      </w:r>
      <w:r w:rsidRPr="00F820DE">
        <w:rPr>
          <w:rFonts w:ascii="Times New Roman" w:eastAsia="標楷體" w:hAnsi="Times New Roman" w:cs="Times New Roman"/>
        </w:rPr>
        <w:t>)</w:t>
      </w:r>
      <w:r w:rsidRPr="00F820DE">
        <w:rPr>
          <w:rFonts w:ascii="Times New Roman" w:eastAsia="標楷體" w:hAnsi="Times New Roman" w:cs="Times New Roman"/>
        </w:rPr>
        <w:t>及其他著作、論文或發明等</w:t>
      </w:r>
      <w:r w:rsidRPr="00F820DE">
        <w:rPr>
          <w:rFonts w:ascii="Times New Roman" w:eastAsia="標楷體" w:hAnsi="Times New Roman" w:cs="Times New Roman"/>
        </w:rPr>
        <w:t>(</w:t>
      </w:r>
      <w:r w:rsidRPr="00F820DE">
        <w:rPr>
          <w:rFonts w:ascii="Times New Roman" w:eastAsia="標楷體" w:hAnsi="Times New Roman" w:cs="Times New Roman"/>
        </w:rPr>
        <w:t>若有</w:t>
      </w:r>
      <w:r w:rsidRPr="00F820DE">
        <w:rPr>
          <w:rFonts w:ascii="Times New Roman" w:eastAsia="標楷體" w:hAnsi="Times New Roman" w:cs="Times New Roman"/>
        </w:rPr>
        <w:t>)</w:t>
      </w:r>
      <w:r w:rsidRPr="00F820DE">
        <w:rPr>
          <w:rFonts w:ascii="Times New Roman" w:eastAsia="標楷體" w:hAnsi="Times New Roman" w:cs="Times New Roman"/>
          <w:color w:val="000000" w:themeColor="text1"/>
        </w:rPr>
        <w:t>。本系於接受申請後，應依據前條所訂標準審查，其方式由</w:t>
      </w:r>
      <w:proofErr w:type="gramStart"/>
      <w:r w:rsidRPr="00F820DE">
        <w:rPr>
          <w:rFonts w:ascii="Times New Roman" w:eastAsia="標楷體" w:hAnsi="Times New Roman" w:cs="Times New Roman"/>
          <w:color w:val="000000" w:themeColor="text1"/>
        </w:rPr>
        <w:t>本系訂定</w:t>
      </w:r>
      <w:proofErr w:type="gramEnd"/>
      <w:r w:rsidRPr="00F820DE">
        <w:rPr>
          <w:rFonts w:ascii="Times New Roman" w:eastAsia="標楷體" w:hAnsi="Times New Roman" w:cs="Times New Roman"/>
          <w:color w:val="000000" w:themeColor="text1"/>
        </w:rPr>
        <w:t>。</w:t>
      </w:r>
    </w:p>
    <w:p w14:paraId="73DE69BA" w14:textId="77777777" w:rsidR="009453AA" w:rsidRPr="00F820DE" w:rsidRDefault="009453AA" w:rsidP="00304270">
      <w:pPr>
        <w:pStyle w:val="Web"/>
        <w:tabs>
          <w:tab w:val="left" w:pos="567"/>
        </w:tabs>
        <w:spacing w:before="0" w:beforeAutospacing="0" w:after="0" w:afterAutospacing="0" w:line="0" w:lineRule="atLeast"/>
        <w:ind w:left="567"/>
        <w:jc w:val="both"/>
        <w:rPr>
          <w:rFonts w:ascii="Times New Roman" w:eastAsia="標楷體" w:hAnsi="Times New Roman" w:cs="Times New Roman"/>
          <w:color w:val="000000"/>
        </w:rPr>
      </w:pPr>
      <w:r w:rsidRPr="00F820DE">
        <w:rPr>
          <w:rFonts w:ascii="Times New Roman" w:eastAsia="標楷體" w:hAnsi="Times New Roman" w:cs="Times New Roman"/>
          <w:color w:val="000000" w:themeColor="text1"/>
        </w:rPr>
        <w:t xml:space="preserve">The application for direct admission to the PhD program may be filed at two phases, i.e. by the end of 2nd semester, or by the end of 1st semester. Students shall file the application by the due date announced by the Department for the current semester. The applicant shall submit their application form, letters of recommendation from professors (at least two), transcripts of previous semesters (including proof of ranking in each semester) and other works, theses, or inventions (if any), etc. </w:t>
      </w:r>
      <w:r w:rsidRPr="00F820DE">
        <w:rPr>
          <w:rFonts w:ascii="Times New Roman" w:eastAsia="標楷體" w:hAnsi="Times New Roman" w:cs="Times New Roman"/>
        </w:rPr>
        <w:t>Upon acceptance of the application, the Department shall review it in accordance with the criteria established under the preceding article. The method of review shall be determined by the Department.</w:t>
      </w:r>
    </w:p>
    <w:p w14:paraId="368AE827" w14:textId="77777777" w:rsidR="00536E92" w:rsidRPr="00F820DE" w:rsidRDefault="00536E92" w:rsidP="00304270">
      <w:pPr>
        <w:pStyle w:val="Web"/>
        <w:tabs>
          <w:tab w:val="left" w:pos="567"/>
        </w:tabs>
        <w:spacing w:before="0" w:beforeAutospacing="0" w:after="0" w:afterAutospacing="0" w:line="0" w:lineRule="atLeast"/>
        <w:ind w:left="480"/>
        <w:jc w:val="both"/>
        <w:rPr>
          <w:rFonts w:ascii="Times New Roman" w:eastAsia="標楷體" w:hAnsi="Times New Roman" w:cs="Times New Roman"/>
          <w:color w:val="000000"/>
        </w:rPr>
      </w:pPr>
    </w:p>
    <w:p w14:paraId="09F8E315" w14:textId="77777777" w:rsidR="00063F89" w:rsidRPr="00F820DE" w:rsidRDefault="00F32E05" w:rsidP="00304270">
      <w:pPr>
        <w:pStyle w:val="Web"/>
        <w:numPr>
          <w:ilvl w:val="0"/>
          <w:numId w:val="31"/>
        </w:numPr>
        <w:tabs>
          <w:tab w:val="left" w:pos="567"/>
        </w:tabs>
        <w:spacing w:before="0" w:beforeAutospacing="0" w:after="0" w:afterAutospacing="0" w:line="0" w:lineRule="atLeast"/>
        <w:ind w:left="567" w:hanging="567"/>
        <w:jc w:val="both"/>
        <w:rPr>
          <w:rFonts w:ascii="Times New Roman" w:eastAsia="標楷體" w:hAnsi="Times New Roman" w:cs="Times New Roman"/>
          <w:color w:val="000000"/>
        </w:rPr>
      </w:pPr>
      <w:r w:rsidRPr="00F820DE">
        <w:rPr>
          <w:rFonts w:ascii="Times New Roman" w:eastAsia="標楷體" w:hAnsi="Times New Roman" w:cs="Times New Roman"/>
          <w:color w:val="000000"/>
        </w:rPr>
        <w:t>本甄試作業分資料審查及面試兩項。經各學術分組推薦申請，送交本系試</w:t>
      </w:r>
      <w:proofErr w:type="gramStart"/>
      <w:r w:rsidRPr="00F820DE">
        <w:rPr>
          <w:rFonts w:ascii="Times New Roman" w:eastAsia="標楷體" w:hAnsi="Times New Roman" w:cs="Times New Roman"/>
          <w:color w:val="000000"/>
        </w:rPr>
        <w:t>務</w:t>
      </w:r>
      <w:proofErr w:type="gramEnd"/>
      <w:r w:rsidRPr="00F820DE">
        <w:rPr>
          <w:rFonts w:ascii="Times New Roman" w:eastAsia="標楷體" w:hAnsi="Times New Roman" w:cs="Times New Roman"/>
          <w:color w:val="000000"/>
        </w:rPr>
        <w:t>工作小組審查，由系主任擔任小組召集人。</w:t>
      </w:r>
      <w:r w:rsidRPr="00F820DE">
        <w:rPr>
          <w:rFonts w:ascii="Times New Roman" w:eastAsia="標楷體" w:hAnsi="Times New Roman" w:cs="Times New Roman"/>
        </w:rPr>
        <w:t>申請</w:t>
      </w:r>
      <w:proofErr w:type="gramStart"/>
      <w:r w:rsidRPr="00F820DE">
        <w:rPr>
          <w:rFonts w:ascii="Times New Roman" w:eastAsia="標楷體" w:hAnsi="Times New Roman" w:cs="Times New Roman"/>
        </w:rPr>
        <w:t>逕</w:t>
      </w:r>
      <w:proofErr w:type="gramEnd"/>
      <w:r w:rsidRPr="00F820DE">
        <w:rPr>
          <w:rFonts w:ascii="Times New Roman" w:eastAsia="標楷體" w:hAnsi="Times New Roman" w:cs="Times New Roman"/>
        </w:rPr>
        <w:t>修讀博士學位之學生，經本系審查確認符合規定，並提經相關會議通過者，送各學院相關會議</w:t>
      </w:r>
      <w:proofErr w:type="gramStart"/>
      <w:r w:rsidRPr="00F820DE">
        <w:rPr>
          <w:rFonts w:ascii="Times New Roman" w:eastAsia="標楷體" w:hAnsi="Times New Roman" w:cs="Times New Roman"/>
        </w:rPr>
        <w:t>複</w:t>
      </w:r>
      <w:proofErr w:type="gramEnd"/>
      <w:r w:rsidRPr="00F820DE">
        <w:rPr>
          <w:rFonts w:ascii="Times New Roman" w:eastAsia="標楷體" w:hAnsi="Times New Roman" w:cs="Times New Roman"/>
        </w:rPr>
        <w:t>審。第一梯次未錄取足額</w:t>
      </w:r>
      <w:proofErr w:type="gramStart"/>
      <w:r w:rsidRPr="00F820DE">
        <w:rPr>
          <w:rFonts w:ascii="Times New Roman" w:eastAsia="標楷體" w:hAnsi="Times New Roman" w:cs="Times New Roman"/>
        </w:rPr>
        <w:t>逕</w:t>
      </w:r>
      <w:proofErr w:type="gramEnd"/>
      <w:r w:rsidRPr="00F820DE">
        <w:rPr>
          <w:rFonts w:ascii="Times New Roman" w:eastAsia="標楷體" w:hAnsi="Times New Roman" w:cs="Times New Roman"/>
        </w:rPr>
        <w:t>修讀博士學位研究生，得於第二梯次申請。核定名額最多以補足本系當學年度逕行修讀博士學位名額之缺額為限。</w:t>
      </w:r>
    </w:p>
    <w:p w14:paraId="2C2C57F9" w14:textId="77777777" w:rsidR="009453AA" w:rsidRPr="00F820DE" w:rsidRDefault="009453AA" w:rsidP="00304270">
      <w:pPr>
        <w:pStyle w:val="Web"/>
        <w:tabs>
          <w:tab w:val="left" w:pos="567"/>
        </w:tabs>
        <w:spacing w:before="0" w:beforeAutospacing="0" w:after="0" w:afterAutospacing="0" w:line="0" w:lineRule="atLeast"/>
        <w:ind w:left="567"/>
        <w:jc w:val="both"/>
        <w:rPr>
          <w:rFonts w:ascii="Times New Roman" w:eastAsia="標楷體" w:hAnsi="Times New Roman" w:cs="Times New Roman"/>
          <w:color w:val="000000"/>
        </w:rPr>
      </w:pPr>
      <w:r w:rsidRPr="00F820DE">
        <w:rPr>
          <w:rFonts w:ascii="Times New Roman" w:eastAsia="標楷體" w:hAnsi="Times New Roman" w:cs="Times New Roman"/>
          <w:color w:val="000000"/>
        </w:rPr>
        <w:t xml:space="preserve">The recommendation and screening operation consists of documentary review and interview. The applicant recommended by each academic group will be reported to the Department’s examination affairs taskforce for review. The Department Chair shall serve as the taskforce convener. </w:t>
      </w:r>
      <w:r w:rsidRPr="00F820DE">
        <w:rPr>
          <w:rFonts w:ascii="Times New Roman" w:eastAsia="標楷體" w:hAnsi="Times New Roman" w:cs="Times New Roman"/>
        </w:rPr>
        <w:t>Following review and approval by the Department and by the related committee, students who apply for direct admission to the PhD program will be reported to each college’s related committee for re-examination. If the number of students directly admitted to the PhD program at the first phase does not exceed the limit, additional applications are allowed during the second phase. The authorized number of studies shall be no more than the vacancies for direct admission to the PhD program of the Department in the current academic year.</w:t>
      </w:r>
    </w:p>
    <w:p w14:paraId="3C37BFE7" w14:textId="77777777" w:rsidR="001A6B96" w:rsidRPr="00F820DE" w:rsidRDefault="001A6B96" w:rsidP="00304270">
      <w:pPr>
        <w:pStyle w:val="Web"/>
        <w:tabs>
          <w:tab w:val="left" w:pos="567"/>
        </w:tabs>
        <w:spacing w:before="0" w:beforeAutospacing="0" w:after="0" w:afterAutospacing="0" w:line="0" w:lineRule="atLeast"/>
        <w:ind w:left="567"/>
        <w:jc w:val="both"/>
        <w:rPr>
          <w:rFonts w:ascii="Times New Roman" w:eastAsia="標楷體" w:hAnsi="Times New Roman" w:cs="Times New Roman"/>
          <w:color w:val="000000"/>
        </w:rPr>
      </w:pPr>
    </w:p>
    <w:p w14:paraId="41C9CF98" w14:textId="77777777" w:rsidR="001A6B96" w:rsidRPr="00F820DE" w:rsidRDefault="00066F50" w:rsidP="00304270">
      <w:pPr>
        <w:pStyle w:val="Web"/>
        <w:numPr>
          <w:ilvl w:val="0"/>
          <w:numId w:val="31"/>
        </w:numPr>
        <w:tabs>
          <w:tab w:val="left" w:pos="567"/>
        </w:tabs>
        <w:spacing w:before="0" w:beforeAutospacing="0" w:after="0" w:afterAutospacing="0" w:line="0" w:lineRule="atLeast"/>
        <w:ind w:left="567" w:hanging="567"/>
        <w:jc w:val="both"/>
        <w:rPr>
          <w:rFonts w:ascii="Times New Roman" w:eastAsia="標楷體" w:hAnsi="Times New Roman" w:cs="Times New Roman"/>
          <w:color w:val="000000"/>
        </w:rPr>
      </w:pPr>
      <w:r w:rsidRPr="00F820DE">
        <w:rPr>
          <w:rFonts w:ascii="Times New Roman" w:eastAsia="標楷體" w:hAnsi="Times New Roman" w:cs="Times New Roman"/>
          <w:color w:val="000000"/>
        </w:rPr>
        <w:t>核准逕行修讀博士學位學生，為本系博士班一年級錄取生，不得申請保留學籍。入學後之修業規定，依本系規章辦理。核准逕行修讀博士學位之學士班應屆畢業生，在就讀前需取得學士學位。在就讀前未取得學士學位者，取消其</w:t>
      </w:r>
      <w:proofErr w:type="gramStart"/>
      <w:r w:rsidRPr="00F820DE">
        <w:rPr>
          <w:rFonts w:ascii="Times New Roman" w:eastAsia="標楷體" w:hAnsi="Times New Roman" w:cs="Times New Roman"/>
          <w:color w:val="000000"/>
        </w:rPr>
        <w:t>逕</w:t>
      </w:r>
      <w:proofErr w:type="gramEnd"/>
      <w:r w:rsidRPr="00F820DE">
        <w:rPr>
          <w:rFonts w:ascii="Times New Roman" w:eastAsia="標楷體" w:hAnsi="Times New Roman" w:cs="Times New Roman"/>
          <w:color w:val="000000"/>
        </w:rPr>
        <w:t>修讀博士學位資格。</w:t>
      </w:r>
    </w:p>
    <w:p w14:paraId="762DC96A" w14:textId="77777777" w:rsidR="009453AA" w:rsidRPr="00F820DE" w:rsidRDefault="009453AA" w:rsidP="00304270">
      <w:pPr>
        <w:pStyle w:val="Web"/>
        <w:tabs>
          <w:tab w:val="left" w:pos="567"/>
        </w:tabs>
        <w:spacing w:before="0" w:beforeAutospacing="0" w:after="0" w:afterAutospacing="0" w:line="0" w:lineRule="atLeast"/>
        <w:ind w:left="567"/>
        <w:jc w:val="both"/>
        <w:rPr>
          <w:rFonts w:ascii="Times New Roman" w:eastAsia="標楷體" w:hAnsi="Times New Roman" w:cs="Times New Roman"/>
          <w:color w:val="000000"/>
        </w:rPr>
      </w:pPr>
      <w:r w:rsidRPr="00F820DE">
        <w:rPr>
          <w:rFonts w:ascii="Times New Roman" w:eastAsia="標楷體" w:hAnsi="Times New Roman" w:cs="Times New Roman"/>
          <w:color w:val="000000"/>
        </w:rPr>
        <w:t>Any student approved for direct admission to the PhD program shall be admitted as a 1st year PhD student of the Department, but are not allowed to apply for retention of their student status. Requirements for study after admission shall be subject to the Department's regulations. Any current bachelor’s graduate approved for direct admission to the PhD program shall acquire a bachelor’s degree prior to his/her admission. If the graduate fails to acquire a bachelor’s degree prior to his/her admission, his/her eligibility for direct admission to the PhD program shall be canceled.</w:t>
      </w:r>
    </w:p>
    <w:p w14:paraId="5594E77C" w14:textId="77777777" w:rsidR="00066F50" w:rsidRPr="00F820DE" w:rsidRDefault="00066F50" w:rsidP="00304270">
      <w:pPr>
        <w:pStyle w:val="Web"/>
        <w:tabs>
          <w:tab w:val="left" w:pos="567"/>
        </w:tabs>
        <w:spacing w:before="0" w:beforeAutospacing="0" w:after="0" w:afterAutospacing="0" w:line="0" w:lineRule="atLeast"/>
        <w:ind w:left="567"/>
        <w:jc w:val="both"/>
        <w:rPr>
          <w:rFonts w:ascii="Times New Roman" w:eastAsia="標楷體" w:hAnsi="Times New Roman" w:cs="Times New Roman"/>
          <w:color w:val="000000"/>
        </w:rPr>
      </w:pPr>
      <w:r w:rsidRPr="00F820DE">
        <w:rPr>
          <w:rFonts w:ascii="Times New Roman" w:eastAsia="標楷體" w:hAnsi="Times New Roman" w:cs="Times New Roman"/>
          <w:color w:val="000000"/>
        </w:rPr>
        <w:t>核准</w:t>
      </w:r>
      <w:proofErr w:type="gramStart"/>
      <w:r w:rsidRPr="00F820DE">
        <w:rPr>
          <w:rFonts w:ascii="Times New Roman" w:eastAsia="標楷體" w:hAnsi="Times New Roman" w:cs="Times New Roman"/>
          <w:color w:val="000000"/>
        </w:rPr>
        <w:t>逕</w:t>
      </w:r>
      <w:proofErr w:type="gramEnd"/>
      <w:r w:rsidRPr="00F820DE">
        <w:rPr>
          <w:rFonts w:ascii="Times New Roman" w:eastAsia="標楷體" w:hAnsi="Times New Roman" w:cs="Times New Roman"/>
          <w:color w:val="000000"/>
        </w:rPr>
        <w:t>修讀博士學位之碩士生，非經申請撤銷</w:t>
      </w:r>
      <w:proofErr w:type="gramStart"/>
      <w:r w:rsidRPr="00F820DE">
        <w:rPr>
          <w:rFonts w:ascii="Times New Roman" w:eastAsia="標楷體" w:hAnsi="Times New Roman" w:cs="Times New Roman"/>
          <w:color w:val="000000"/>
        </w:rPr>
        <w:t>逕</w:t>
      </w:r>
      <w:proofErr w:type="gramEnd"/>
      <w:r w:rsidRPr="00F820DE">
        <w:rPr>
          <w:rFonts w:ascii="Times New Roman" w:eastAsia="標楷體" w:hAnsi="Times New Roman" w:cs="Times New Roman"/>
          <w:color w:val="000000"/>
        </w:rPr>
        <w:t>修資格，不得再參加碩士班學位考試。</w:t>
      </w:r>
    </w:p>
    <w:p w14:paraId="4C81632D" w14:textId="77777777" w:rsidR="009453AA" w:rsidRPr="00F820DE" w:rsidRDefault="009453AA" w:rsidP="00304270">
      <w:pPr>
        <w:pStyle w:val="Web"/>
        <w:tabs>
          <w:tab w:val="left" w:pos="567"/>
        </w:tabs>
        <w:spacing w:before="0" w:beforeAutospacing="0" w:after="0" w:afterAutospacing="0" w:line="0" w:lineRule="atLeast"/>
        <w:ind w:left="567"/>
        <w:jc w:val="both"/>
        <w:rPr>
          <w:rFonts w:ascii="Times New Roman" w:eastAsia="標楷體" w:hAnsi="Times New Roman" w:cs="Times New Roman"/>
          <w:color w:val="000000"/>
        </w:rPr>
      </w:pPr>
      <w:r w:rsidRPr="00F820DE">
        <w:rPr>
          <w:rFonts w:ascii="Times New Roman" w:eastAsia="標楷體" w:hAnsi="Times New Roman" w:cs="Times New Roman"/>
          <w:color w:val="000000"/>
        </w:rPr>
        <w:t>Any master’s student approved for direct admission to the PhD program who has not applied for revocation of his/her eligibility for direct admission may not participate again in any master’s degree examination.</w:t>
      </w:r>
    </w:p>
    <w:p w14:paraId="1AC69B1A" w14:textId="77777777" w:rsidR="00066F50" w:rsidRPr="00F820DE" w:rsidRDefault="00066F50" w:rsidP="00304270">
      <w:pPr>
        <w:pStyle w:val="Web"/>
        <w:tabs>
          <w:tab w:val="left" w:pos="567"/>
        </w:tabs>
        <w:spacing w:before="0" w:beforeAutospacing="0" w:after="0" w:afterAutospacing="0" w:line="0" w:lineRule="atLeast"/>
        <w:ind w:left="567" w:hanging="567"/>
        <w:jc w:val="both"/>
        <w:rPr>
          <w:rFonts w:ascii="Times New Roman" w:eastAsia="標楷體" w:hAnsi="Times New Roman" w:cs="Times New Roman"/>
          <w:color w:val="000000"/>
        </w:rPr>
      </w:pPr>
    </w:p>
    <w:p w14:paraId="5039018C" w14:textId="77777777" w:rsidR="001E3D3F" w:rsidRPr="00F820DE" w:rsidRDefault="00D45FD8" w:rsidP="00304270">
      <w:pPr>
        <w:pStyle w:val="a7"/>
        <w:numPr>
          <w:ilvl w:val="0"/>
          <w:numId w:val="31"/>
        </w:numPr>
        <w:tabs>
          <w:tab w:val="left" w:pos="567"/>
        </w:tabs>
        <w:adjustRightInd w:val="0"/>
        <w:snapToGrid w:val="0"/>
        <w:spacing w:line="0" w:lineRule="atLeast"/>
        <w:ind w:leftChars="0" w:left="567" w:hanging="567"/>
        <w:jc w:val="both"/>
        <w:rPr>
          <w:rFonts w:eastAsia="標楷體"/>
          <w:kern w:val="0"/>
        </w:rPr>
      </w:pPr>
      <w:r w:rsidRPr="00F820DE">
        <w:rPr>
          <w:rFonts w:eastAsia="標楷體"/>
          <w:lang w:eastAsia="zh-TW"/>
        </w:rPr>
        <w:t>碩士班</w:t>
      </w:r>
      <w:proofErr w:type="gramStart"/>
      <w:r w:rsidRPr="00F820DE">
        <w:rPr>
          <w:rFonts w:eastAsia="標楷體"/>
        </w:rPr>
        <w:t>逕</w:t>
      </w:r>
      <w:proofErr w:type="gramEnd"/>
      <w:r w:rsidRPr="00F820DE">
        <w:rPr>
          <w:rFonts w:eastAsia="標楷體"/>
        </w:rPr>
        <w:t>修讀博士學位學生因故中止修讀博士學位、或因未通過博士學位候選人資格考核，或因未通過博士學位考試且未符合本條第二項規定，得於每學期結束前</w:t>
      </w:r>
      <w:r w:rsidRPr="00F820DE">
        <w:rPr>
          <w:rFonts w:eastAsia="標楷體"/>
          <w:lang w:eastAsia="zh-TW"/>
        </w:rPr>
        <w:t>，</w:t>
      </w:r>
      <w:proofErr w:type="spellStart"/>
      <w:r w:rsidRPr="00F820DE">
        <w:rPr>
          <w:rFonts w:eastAsia="標楷體"/>
        </w:rPr>
        <w:t>檢具申請表</w:t>
      </w:r>
      <w:proofErr w:type="spellEnd"/>
      <w:r w:rsidRPr="00F820DE">
        <w:rPr>
          <w:rFonts w:eastAsia="標楷體"/>
          <w:lang w:eastAsia="zh-TW"/>
        </w:rPr>
        <w:t>，</w:t>
      </w:r>
      <w:proofErr w:type="spellStart"/>
      <w:r w:rsidRPr="00F820DE">
        <w:rPr>
          <w:rFonts w:eastAsia="標楷體"/>
        </w:rPr>
        <w:t>經各學術分組之同意，系</w:t>
      </w:r>
      <w:proofErr w:type="gramStart"/>
      <w:r w:rsidRPr="00F820DE">
        <w:rPr>
          <w:rFonts w:eastAsia="標楷體"/>
        </w:rPr>
        <w:t>務</w:t>
      </w:r>
      <w:proofErr w:type="gramEnd"/>
      <w:r w:rsidRPr="00F820DE">
        <w:rPr>
          <w:rFonts w:eastAsia="標楷體"/>
        </w:rPr>
        <w:t>會議審查通過，並經校長核定後，得回原碩士班就讀或申請轉</w:t>
      </w:r>
      <w:r w:rsidRPr="00F820DE">
        <w:rPr>
          <w:rFonts w:eastAsia="標楷體"/>
          <w:lang w:eastAsia="zh-TW"/>
        </w:rPr>
        <w:t>入相關教學單位修讀碩士學位</w:t>
      </w:r>
      <w:proofErr w:type="spellEnd"/>
      <w:r w:rsidRPr="00F820DE">
        <w:rPr>
          <w:rFonts w:eastAsia="標楷體"/>
          <w:lang w:eastAsia="zh-TW"/>
        </w:rPr>
        <w:t>。</w:t>
      </w:r>
      <w:r w:rsidRPr="00F820DE">
        <w:rPr>
          <w:rFonts w:eastAsia="標楷體"/>
        </w:rPr>
        <w:t>其在博士班之修業時間及休學紀錄不併入碩士班最高修業期限及休學紀錄內核計，重行銜接進入博士班前之修業狀況，依據原碩士班之修業規定，繼續修讀碩士學位。若在學期中核定轉回者，該學期以就讀碩士班計</w:t>
      </w:r>
      <w:r w:rsidRPr="00F820DE">
        <w:rPr>
          <w:rFonts w:eastAsia="標楷體"/>
        </w:rPr>
        <w:lastRenderedPageBreak/>
        <w:t>算</w:t>
      </w:r>
      <w:r w:rsidRPr="00F820DE">
        <w:rPr>
          <w:rFonts w:eastAsia="標楷體"/>
          <w:sz w:val="23"/>
        </w:rPr>
        <w:t>。</w:t>
      </w:r>
    </w:p>
    <w:p w14:paraId="35FD2E2D" w14:textId="77777777" w:rsidR="009453AA" w:rsidRPr="00F820DE" w:rsidRDefault="009453AA" w:rsidP="00304270">
      <w:pPr>
        <w:pStyle w:val="a7"/>
        <w:tabs>
          <w:tab w:val="left" w:pos="567"/>
        </w:tabs>
        <w:adjustRightInd w:val="0"/>
        <w:snapToGrid w:val="0"/>
        <w:spacing w:line="0" w:lineRule="atLeast"/>
        <w:ind w:leftChars="0" w:left="567"/>
        <w:jc w:val="both"/>
        <w:rPr>
          <w:rFonts w:eastAsia="標楷體"/>
          <w:kern w:val="0"/>
        </w:rPr>
      </w:pPr>
      <w:r w:rsidRPr="00F820DE">
        <w:rPr>
          <w:rFonts w:eastAsia="標楷體"/>
        </w:rPr>
        <w:t>If any master’s degree student directly admitted to the PhD program has ceased his/her study in the PhD program for any reason, has failed to pass the PhD candidate qualifying examination, or has failed to pass the PhD degree examination and has also failed to satisfy the requirements referred to in Paragraph 2 of this provision, he/she may submit an application form before the end of each semester for transfer back to the original master’s program or to a related academic unit to study a master’s degree, upon approval by both academic groups and that of the Department Affairs Committee meeting, and authorization by the President of NYCU. The study period and record of leave of absence of the student in the PhD program will not be included in the calculation of his/her maximum study period and record of leave of absence in the master’s degree program, in order to enable him/her to bridge the study status before he/she is admitted to the PhD program and continue to study the master degree per the original master’s degree program’s study requirements. If the student transfers to the master’s degree program in the middle of a semester, then that semester will be regarded as the first semester of his/her master’s study</w:t>
      </w:r>
      <w:r w:rsidRPr="00F820DE">
        <w:rPr>
          <w:rFonts w:eastAsia="標楷體"/>
          <w:sz w:val="23"/>
        </w:rPr>
        <w:t>.</w:t>
      </w:r>
    </w:p>
    <w:p w14:paraId="4CE157C7" w14:textId="77777777" w:rsidR="00560CB8" w:rsidRPr="00F820DE" w:rsidRDefault="0044434D" w:rsidP="00304270">
      <w:pPr>
        <w:pStyle w:val="Web"/>
        <w:tabs>
          <w:tab w:val="left" w:pos="993"/>
        </w:tabs>
        <w:spacing w:before="0" w:beforeAutospacing="0" w:after="0" w:afterAutospacing="0" w:line="0" w:lineRule="atLeast"/>
        <w:ind w:left="567"/>
        <w:jc w:val="both"/>
        <w:rPr>
          <w:rFonts w:ascii="Times New Roman" w:eastAsia="標楷體" w:hAnsi="Times New Roman" w:cs="Times New Roman"/>
        </w:rPr>
      </w:pPr>
      <w:r w:rsidRPr="00F820DE">
        <w:rPr>
          <w:rFonts w:ascii="Times New Roman" w:eastAsia="標楷體" w:hAnsi="Times New Roman" w:cs="Times New Roman"/>
        </w:rPr>
        <w:t>前項逕行修讀博士學位研究生修業期滿，修得本系博士班規定之學分數及本系規定之各項考核規定，但未通過博士學位考試，其所提論文若經博士學位考試委員會決定為合於碩士學位標準者，得授予碩士學位。</w:t>
      </w:r>
    </w:p>
    <w:p w14:paraId="7BF1488D" w14:textId="77777777" w:rsidR="009453AA" w:rsidRPr="00F820DE" w:rsidRDefault="009453AA" w:rsidP="00304270">
      <w:pPr>
        <w:pStyle w:val="Web"/>
        <w:tabs>
          <w:tab w:val="left" w:pos="993"/>
        </w:tabs>
        <w:spacing w:before="0" w:beforeAutospacing="0" w:after="0" w:afterAutospacing="0" w:line="0" w:lineRule="atLeast"/>
        <w:ind w:left="567"/>
        <w:jc w:val="both"/>
        <w:rPr>
          <w:rFonts w:ascii="Times New Roman" w:eastAsia="標楷體" w:hAnsi="Times New Roman" w:cs="Times New Roman"/>
        </w:rPr>
      </w:pPr>
      <w:r w:rsidRPr="00F820DE">
        <w:rPr>
          <w:rFonts w:ascii="Times New Roman" w:eastAsia="標楷體" w:hAnsi="Times New Roman" w:cs="Times New Roman"/>
        </w:rPr>
        <w:t>Where any graduate student directly admitted to the PhD program under the preceding paragraph has earned the credits required by the PhD program in which he/she is enrolled and passed other examinations as required but has failed to pass the PhD degree examination, upon expiration of his/her study period, he/she may be granted a master’s degree if the thesis he/she has submitted is determined by the PhD degree examination committee as satisfying the requirements for the master’s degree program.</w:t>
      </w:r>
    </w:p>
    <w:p w14:paraId="72795290" w14:textId="77777777" w:rsidR="001337DC" w:rsidRPr="00F820DE" w:rsidRDefault="001337DC" w:rsidP="00304270">
      <w:pPr>
        <w:pStyle w:val="Web"/>
        <w:tabs>
          <w:tab w:val="left" w:pos="993"/>
        </w:tabs>
        <w:spacing w:before="0" w:beforeAutospacing="0" w:after="0" w:afterAutospacing="0" w:line="0" w:lineRule="atLeast"/>
        <w:ind w:left="567"/>
        <w:jc w:val="both"/>
        <w:rPr>
          <w:rFonts w:ascii="Times New Roman" w:eastAsia="標楷體" w:hAnsi="Times New Roman" w:cs="Times New Roman"/>
        </w:rPr>
      </w:pPr>
      <w:r w:rsidRPr="00F820DE">
        <w:rPr>
          <w:rFonts w:ascii="Times New Roman" w:eastAsia="標楷體" w:hAnsi="Times New Roman" w:cs="Times New Roman"/>
        </w:rPr>
        <w:t>學士班逕行修讀博士學位學生因故中止修讀博士學位或因未通過博士學位候選人資格考核，得檢具申請表，申請轉入碩士班就讀，經各學術分組之同意，系</w:t>
      </w:r>
      <w:proofErr w:type="gramStart"/>
      <w:r w:rsidRPr="00F820DE">
        <w:rPr>
          <w:rFonts w:ascii="Times New Roman" w:eastAsia="標楷體" w:hAnsi="Times New Roman" w:cs="Times New Roman"/>
        </w:rPr>
        <w:t>務</w:t>
      </w:r>
      <w:proofErr w:type="gramEnd"/>
      <w:r w:rsidRPr="00F820DE">
        <w:rPr>
          <w:rFonts w:ascii="Times New Roman" w:eastAsia="標楷體" w:hAnsi="Times New Roman" w:cs="Times New Roman"/>
        </w:rPr>
        <w:t>會議審查通過，並經校長核定後，得轉入碩士班就讀。其在博士班之修業時間及休學紀錄</w:t>
      </w:r>
      <w:proofErr w:type="gramStart"/>
      <w:r w:rsidRPr="00F820DE">
        <w:rPr>
          <w:rFonts w:ascii="Times New Roman" w:eastAsia="標楷體" w:hAnsi="Times New Roman" w:cs="Times New Roman"/>
        </w:rPr>
        <w:t>不</w:t>
      </w:r>
      <w:proofErr w:type="gramEnd"/>
      <w:r w:rsidRPr="00F820DE">
        <w:rPr>
          <w:rFonts w:ascii="Times New Roman" w:eastAsia="標楷體" w:hAnsi="Times New Roman" w:cs="Times New Roman"/>
        </w:rPr>
        <w:t>併入碩士班最高修業期限及休學紀錄內核計。若在學期中核定轉入者，該學期以就讀碩士班計算。</w:t>
      </w:r>
    </w:p>
    <w:p w14:paraId="33615C91" w14:textId="77777777" w:rsidR="009453AA" w:rsidRPr="00F820DE" w:rsidRDefault="009453AA" w:rsidP="00304270">
      <w:pPr>
        <w:pStyle w:val="Web"/>
        <w:tabs>
          <w:tab w:val="left" w:pos="993"/>
        </w:tabs>
        <w:spacing w:before="0" w:beforeAutospacing="0" w:after="0" w:afterAutospacing="0" w:line="0" w:lineRule="atLeast"/>
        <w:ind w:left="567"/>
        <w:jc w:val="both"/>
        <w:rPr>
          <w:rFonts w:ascii="Times New Roman" w:eastAsia="標楷體" w:hAnsi="Times New Roman" w:cs="Times New Roman"/>
        </w:rPr>
      </w:pPr>
      <w:r w:rsidRPr="00F820DE">
        <w:rPr>
          <w:rFonts w:ascii="Times New Roman" w:eastAsia="標楷體" w:hAnsi="Times New Roman" w:cs="Times New Roman"/>
        </w:rPr>
        <w:t>If any bachelor’s degree student directly admitted to the PhD program has ceased his/her study in the PhD program for any reason or has failed to pass the PhD candidate qualifying examination, he/she may submit an application form for transfer back to the original master’s degree program upon approval of the academic group and that of the Department Affairs Committee meeting, and authorization by the President of NYCU. The study period and record of leave of absence of the student in the PhD program will not be included in the calculation of his/her maximum study period and record of leave of absence in the master’s degree program. If the student transfers to the master’s degree program in the middle of a semester, then that semester will be regarded as the first semester of his/her master’s study.</w:t>
      </w:r>
    </w:p>
    <w:p w14:paraId="39290310" w14:textId="77777777" w:rsidR="001337DC" w:rsidRPr="00F820DE" w:rsidRDefault="001337DC" w:rsidP="00304270">
      <w:pPr>
        <w:pStyle w:val="Web"/>
        <w:tabs>
          <w:tab w:val="left" w:pos="993"/>
        </w:tabs>
        <w:spacing w:before="0" w:beforeAutospacing="0" w:after="0" w:afterAutospacing="0" w:line="0" w:lineRule="atLeast"/>
        <w:ind w:leftChars="177" w:left="425" w:firstLine="1"/>
        <w:jc w:val="both"/>
        <w:rPr>
          <w:rFonts w:ascii="Times New Roman" w:eastAsia="標楷體" w:hAnsi="Times New Roman" w:cs="Times New Roman"/>
          <w:color w:val="000000"/>
        </w:rPr>
      </w:pPr>
    </w:p>
    <w:p w14:paraId="7567553A" w14:textId="77777777" w:rsidR="00E0704E" w:rsidRPr="00F820DE" w:rsidRDefault="009B4E50" w:rsidP="00304270">
      <w:pPr>
        <w:numPr>
          <w:ilvl w:val="0"/>
          <w:numId w:val="31"/>
        </w:numPr>
        <w:tabs>
          <w:tab w:val="left" w:pos="567"/>
        </w:tabs>
        <w:snapToGrid w:val="0"/>
        <w:spacing w:line="0" w:lineRule="atLeast"/>
        <w:ind w:left="567" w:hanging="567"/>
        <w:jc w:val="both"/>
        <w:rPr>
          <w:rFonts w:eastAsia="標楷體"/>
        </w:rPr>
      </w:pPr>
      <w:r w:rsidRPr="00F820DE">
        <w:rPr>
          <w:rFonts w:eastAsia="標楷體"/>
          <w:color w:val="000000"/>
        </w:rPr>
        <w:t>依第七條辦理者，轉回或轉入碩士班後，不得再行申請逕行修讀博士學位。</w:t>
      </w:r>
    </w:p>
    <w:p w14:paraId="183D78CD" w14:textId="77777777" w:rsidR="009453AA" w:rsidRPr="00F820DE" w:rsidRDefault="009453AA" w:rsidP="00304270">
      <w:pPr>
        <w:tabs>
          <w:tab w:val="left" w:pos="567"/>
        </w:tabs>
        <w:snapToGrid w:val="0"/>
        <w:spacing w:line="0" w:lineRule="atLeast"/>
        <w:ind w:left="567"/>
        <w:jc w:val="both"/>
        <w:rPr>
          <w:rFonts w:eastAsia="標楷體"/>
        </w:rPr>
      </w:pPr>
      <w:r w:rsidRPr="00F820DE">
        <w:rPr>
          <w:rFonts w:eastAsia="標楷體"/>
          <w:color w:val="000000"/>
        </w:rPr>
        <w:t>The students who resume or transfer to the master’s program from the PhD program under Article 7 may not apply for the direct admission to a PhD program again.</w:t>
      </w:r>
    </w:p>
    <w:p w14:paraId="09500527" w14:textId="77777777" w:rsidR="004375C7" w:rsidRPr="00F820DE" w:rsidRDefault="004375C7" w:rsidP="00304270">
      <w:pPr>
        <w:tabs>
          <w:tab w:val="left" w:pos="567"/>
        </w:tabs>
        <w:snapToGrid w:val="0"/>
        <w:spacing w:line="0" w:lineRule="atLeast"/>
        <w:ind w:left="567"/>
        <w:jc w:val="both"/>
        <w:rPr>
          <w:rFonts w:eastAsia="標楷體"/>
        </w:rPr>
      </w:pPr>
    </w:p>
    <w:p w14:paraId="5DE250E1" w14:textId="77777777" w:rsidR="00BD7902" w:rsidRPr="00F820DE" w:rsidRDefault="00BD7902" w:rsidP="00304270">
      <w:pPr>
        <w:numPr>
          <w:ilvl w:val="0"/>
          <w:numId w:val="31"/>
        </w:numPr>
        <w:tabs>
          <w:tab w:val="left" w:pos="567"/>
        </w:tabs>
        <w:snapToGrid w:val="0"/>
        <w:spacing w:line="0" w:lineRule="atLeast"/>
        <w:ind w:left="567" w:hanging="567"/>
        <w:jc w:val="both"/>
        <w:rPr>
          <w:rFonts w:eastAsia="標楷體"/>
        </w:rPr>
      </w:pPr>
      <w:bookmarkStart w:id="0" w:name="_Hlk107825582"/>
      <w:r w:rsidRPr="00F820DE">
        <w:rPr>
          <w:rFonts w:eastAsia="標楷體"/>
        </w:rPr>
        <w:t>甄試委員凡有子女或指導之研究生參加本系之</w:t>
      </w:r>
      <w:proofErr w:type="gramStart"/>
      <w:r w:rsidRPr="00F820DE">
        <w:rPr>
          <w:rFonts w:eastAsia="標楷體"/>
        </w:rPr>
        <w:t>逕</w:t>
      </w:r>
      <w:proofErr w:type="gramEnd"/>
      <w:r w:rsidRPr="00F820DE">
        <w:rPr>
          <w:rFonts w:eastAsia="標楷體"/>
        </w:rPr>
        <w:t>修讀博士學位甄試者，應自請迴避；遞補委員由各學術分組自行推選。</w:t>
      </w:r>
      <w:bookmarkEnd w:id="0"/>
    </w:p>
    <w:p w14:paraId="4E45ABEB" w14:textId="77777777" w:rsidR="009453AA" w:rsidRPr="00F820DE" w:rsidRDefault="009453AA" w:rsidP="00304270">
      <w:pPr>
        <w:tabs>
          <w:tab w:val="left" w:pos="567"/>
        </w:tabs>
        <w:snapToGrid w:val="0"/>
        <w:spacing w:line="0" w:lineRule="atLeast"/>
        <w:ind w:left="567"/>
        <w:jc w:val="both"/>
        <w:rPr>
          <w:rFonts w:eastAsia="標楷體"/>
        </w:rPr>
      </w:pPr>
      <w:r w:rsidRPr="00F820DE">
        <w:rPr>
          <w:rFonts w:eastAsia="標楷體"/>
        </w:rPr>
        <w:t>Any selection committee member whose children or instructed graduate students participate in the recommendation and screening for direct admission to the PhD program shall recuse himself/herself voluntarily. The succeeding member(s) shall be elected by the relevant academic group.</w:t>
      </w:r>
    </w:p>
    <w:p w14:paraId="61E12A97" w14:textId="77777777" w:rsidR="00BD7902" w:rsidRPr="00F820DE" w:rsidRDefault="00BD7902" w:rsidP="00304270">
      <w:pPr>
        <w:tabs>
          <w:tab w:val="left" w:pos="567"/>
          <w:tab w:val="left" w:pos="709"/>
          <w:tab w:val="left" w:pos="851"/>
        </w:tabs>
        <w:snapToGrid w:val="0"/>
        <w:spacing w:line="0" w:lineRule="atLeast"/>
        <w:ind w:leftChars="9" w:left="425" w:hangingChars="168" w:hanging="403"/>
        <w:jc w:val="both"/>
        <w:rPr>
          <w:rFonts w:eastAsia="標楷體"/>
        </w:rPr>
      </w:pPr>
    </w:p>
    <w:p w14:paraId="162BC2FE" w14:textId="77777777" w:rsidR="00BD7902" w:rsidRPr="00F820DE" w:rsidRDefault="00BD7902" w:rsidP="00304270">
      <w:pPr>
        <w:numPr>
          <w:ilvl w:val="0"/>
          <w:numId w:val="31"/>
        </w:numPr>
        <w:tabs>
          <w:tab w:val="left" w:pos="709"/>
          <w:tab w:val="left" w:pos="851"/>
        </w:tabs>
        <w:snapToGrid w:val="0"/>
        <w:spacing w:line="0" w:lineRule="atLeast"/>
        <w:ind w:left="567" w:hanging="567"/>
        <w:jc w:val="both"/>
        <w:rPr>
          <w:rFonts w:eastAsia="標楷體"/>
        </w:rPr>
      </w:pPr>
      <w:r w:rsidRPr="00F820DE">
        <w:rPr>
          <w:rFonts w:eastAsia="標楷體"/>
        </w:rPr>
        <w:t>依</w:t>
      </w:r>
      <w:proofErr w:type="gramStart"/>
      <w:r w:rsidRPr="00F820DE">
        <w:rPr>
          <w:rFonts w:eastAsia="標楷體"/>
        </w:rPr>
        <w:t>複</w:t>
      </w:r>
      <w:proofErr w:type="gramEnd"/>
      <w:r w:rsidRPr="00F820DE">
        <w:rPr>
          <w:rFonts w:eastAsia="標楷體"/>
        </w:rPr>
        <w:t>審結果決定擬錄取名單後報院校。</w:t>
      </w:r>
    </w:p>
    <w:p w14:paraId="27E43F79" w14:textId="77777777" w:rsidR="009453AA" w:rsidRPr="00F820DE" w:rsidRDefault="009453AA" w:rsidP="00304270">
      <w:pPr>
        <w:tabs>
          <w:tab w:val="left" w:pos="709"/>
          <w:tab w:val="left" w:pos="851"/>
        </w:tabs>
        <w:snapToGrid w:val="0"/>
        <w:spacing w:line="0" w:lineRule="atLeast"/>
        <w:ind w:left="567"/>
        <w:jc w:val="both"/>
        <w:rPr>
          <w:rFonts w:eastAsia="標楷體"/>
        </w:rPr>
      </w:pPr>
      <w:r w:rsidRPr="00F820DE">
        <w:rPr>
          <w:rFonts w:eastAsia="標楷體"/>
        </w:rPr>
        <w:lastRenderedPageBreak/>
        <w:t xml:space="preserve">The admitted candidates shall be decided based on the re-examination results, and then reported to the college and university. </w:t>
      </w:r>
    </w:p>
    <w:p w14:paraId="7A63DD72" w14:textId="77777777" w:rsidR="00925DC6" w:rsidRPr="00F820DE" w:rsidRDefault="00925DC6" w:rsidP="00304270">
      <w:pPr>
        <w:tabs>
          <w:tab w:val="left" w:pos="709"/>
        </w:tabs>
        <w:snapToGrid w:val="0"/>
        <w:spacing w:line="0" w:lineRule="atLeast"/>
        <w:ind w:leftChars="9" w:left="425" w:hangingChars="168" w:hanging="403"/>
        <w:jc w:val="both"/>
        <w:rPr>
          <w:rFonts w:eastAsia="標楷體"/>
        </w:rPr>
      </w:pPr>
    </w:p>
    <w:p w14:paraId="64334C1B" w14:textId="77777777" w:rsidR="00BD7902" w:rsidRPr="00F820DE" w:rsidRDefault="00BD7902" w:rsidP="00304270">
      <w:pPr>
        <w:pStyle w:val="Web"/>
        <w:numPr>
          <w:ilvl w:val="0"/>
          <w:numId w:val="31"/>
        </w:numPr>
        <w:tabs>
          <w:tab w:val="left" w:pos="709"/>
          <w:tab w:val="left" w:pos="851"/>
        </w:tabs>
        <w:spacing w:before="0" w:beforeAutospacing="0" w:after="0" w:afterAutospacing="0" w:line="0" w:lineRule="atLeast"/>
        <w:ind w:left="567" w:hanging="567"/>
        <w:jc w:val="both"/>
        <w:rPr>
          <w:rFonts w:ascii="Times New Roman" w:eastAsia="標楷體" w:hAnsi="Times New Roman" w:cs="Times New Roman"/>
        </w:rPr>
      </w:pPr>
      <w:r w:rsidRPr="00F820DE">
        <w:rPr>
          <w:rFonts w:ascii="Times New Roman" w:eastAsia="標楷體" w:hAnsi="Times New Roman" w:cs="Times New Roman"/>
        </w:rPr>
        <w:t>其他未盡事宜依本校相關規定辦法辦理。</w:t>
      </w:r>
    </w:p>
    <w:p w14:paraId="1EFBA504" w14:textId="77777777" w:rsidR="009453AA" w:rsidRPr="00F820DE" w:rsidRDefault="009453AA" w:rsidP="00304270">
      <w:pPr>
        <w:pStyle w:val="Web"/>
        <w:tabs>
          <w:tab w:val="left" w:pos="709"/>
          <w:tab w:val="left" w:pos="851"/>
        </w:tabs>
        <w:spacing w:before="0" w:beforeAutospacing="0" w:after="0" w:afterAutospacing="0" w:line="0" w:lineRule="atLeast"/>
        <w:ind w:left="851"/>
        <w:jc w:val="both"/>
        <w:rPr>
          <w:rFonts w:ascii="Times New Roman" w:eastAsia="標楷體" w:hAnsi="Times New Roman" w:cs="Times New Roman"/>
        </w:rPr>
      </w:pPr>
      <w:r w:rsidRPr="00F820DE">
        <w:rPr>
          <w:rFonts w:ascii="Times New Roman" w:eastAsia="標楷體" w:hAnsi="Times New Roman" w:cs="Times New Roman"/>
        </w:rPr>
        <w:t>Matters not provided herein shall be governed by NYCU related regulations.</w:t>
      </w:r>
    </w:p>
    <w:p w14:paraId="36F651F0" w14:textId="77777777" w:rsidR="00925DC6" w:rsidRPr="00F820DE" w:rsidRDefault="00925DC6" w:rsidP="00304270">
      <w:pPr>
        <w:pStyle w:val="Web"/>
        <w:tabs>
          <w:tab w:val="left" w:pos="709"/>
        </w:tabs>
        <w:spacing w:before="0" w:beforeAutospacing="0" w:after="0" w:afterAutospacing="0" w:line="0" w:lineRule="atLeast"/>
        <w:ind w:left="567" w:hanging="567"/>
        <w:jc w:val="both"/>
        <w:rPr>
          <w:rFonts w:ascii="Times New Roman" w:eastAsia="標楷體" w:hAnsi="Times New Roman" w:cs="Times New Roman"/>
        </w:rPr>
      </w:pPr>
    </w:p>
    <w:p w14:paraId="22B2229B" w14:textId="77777777" w:rsidR="00B22D3B" w:rsidRPr="00F820DE" w:rsidRDefault="00BD7902" w:rsidP="00304270">
      <w:pPr>
        <w:pStyle w:val="Web"/>
        <w:numPr>
          <w:ilvl w:val="0"/>
          <w:numId w:val="31"/>
        </w:numPr>
        <w:tabs>
          <w:tab w:val="left" w:pos="709"/>
          <w:tab w:val="left" w:pos="851"/>
        </w:tabs>
        <w:spacing w:before="0" w:beforeAutospacing="0" w:after="0" w:afterAutospacing="0" w:line="0" w:lineRule="atLeast"/>
        <w:ind w:left="567" w:hanging="567"/>
        <w:jc w:val="both"/>
        <w:rPr>
          <w:rFonts w:ascii="Times New Roman" w:eastAsia="標楷體" w:hAnsi="Times New Roman" w:cs="Times New Roman"/>
          <w:color w:val="000000"/>
        </w:rPr>
      </w:pPr>
      <w:r w:rsidRPr="00F820DE">
        <w:rPr>
          <w:rFonts w:ascii="Times New Roman" w:eastAsia="標楷體" w:hAnsi="Times New Roman" w:cs="Times New Roman"/>
        </w:rPr>
        <w:t>本作業規定經系</w:t>
      </w:r>
      <w:proofErr w:type="gramStart"/>
      <w:r w:rsidRPr="00F820DE">
        <w:rPr>
          <w:rFonts w:ascii="Times New Roman" w:eastAsia="標楷體" w:hAnsi="Times New Roman" w:cs="Times New Roman"/>
        </w:rPr>
        <w:t>務</w:t>
      </w:r>
      <w:proofErr w:type="gramEnd"/>
      <w:r w:rsidRPr="00F820DE">
        <w:rPr>
          <w:rFonts w:ascii="Times New Roman" w:eastAsia="標楷體" w:hAnsi="Times New Roman" w:cs="Times New Roman"/>
        </w:rPr>
        <w:t>會議通過後實施，修正時亦同。</w:t>
      </w:r>
    </w:p>
    <w:p w14:paraId="26E6538D" w14:textId="77777777" w:rsidR="009453AA" w:rsidRPr="00F820DE" w:rsidRDefault="009453AA" w:rsidP="00304270">
      <w:pPr>
        <w:pStyle w:val="Web"/>
        <w:tabs>
          <w:tab w:val="left" w:pos="709"/>
          <w:tab w:val="left" w:pos="851"/>
        </w:tabs>
        <w:spacing w:before="0" w:beforeAutospacing="0" w:after="0" w:afterAutospacing="0" w:line="0" w:lineRule="atLeast"/>
        <w:ind w:left="851"/>
        <w:jc w:val="both"/>
        <w:rPr>
          <w:rFonts w:ascii="Times New Roman" w:eastAsia="標楷體" w:hAnsi="Times New Roman" w:cs="Times New Roman"/>
          <w:color w:val="000000"/>
        </w:rPr>
      </w:pPr>
      <w:r w:rsidRPr="00F820DE">
        <w:rPr>
          <w:rFonts w:ascii="Times New Roman" w:eastAsia="標楷體" w:hAnsi="Times New Roman" w:cs="Times New Roman"/>
        </w:rPr>
        <w:t>These Regulations shal</w:t>
      </w:r>
      <w:bookmarkStart w:id="1" w:name="_GoBack"/>
      <w:bookmarkEnd w:id="1"/>
      <w:r w:rsidRPr="00F820DE">
        <w:rPr>
          <w:rFonts w:ascii="Times New Roman" w:eastAsia="標楷體" w:hAnsi="Times New Roman" w:cs="Times New Roman"/>
        </w:rPr>
        <w:t>l be enforced upon approval of the Department Affairs Committee Meeting. The same shall apply where these Regulations are amended.</w:t>
      </w:r>
    </w:p>
    <w:p w14:paraId="6D200763" w14:textId="77777777" w:rsidR="00064F95" w:rsidRPr="00F820DE" w:rsidRDefault="00064F95" w:rsidP="00304270">
      <w:pPr>
        <w:pStyle w:val="Web"/>
        <w:tabs>
          <w:tab w:val="left" w:pos="567"/>
        </w:tabs>
        <w:spacing w:before="0" w:beforeAutospacing="0" w:after="0" w:afterAutospacing="0" w:line="0" w:lineRule="atLeast"/>
        <w:rPr>
          <w:rFonts w:ascii="Times New Roman" w:eastAsia="標楷體" w:hAnsi="Times New Roman" w:cs="Times New Roman"/>
          <w:color w:val="000000"/>
        </w:rPr>
      </w:pPr>
    </w:p>
    <w:sectPr w:rsidR="00064F95" w:rsidRPr="00F820DE" w:rsidSect="00F820DE">
      <w:footerReference w:type="even" r:id="rId7"/>
      <w:footerReference w:type="default" r:id="rId8"/>
      <w:pgSz w:w="11907" w:h="16840" w:code="9"/>
      <w:pgMar w:top="1134" w:right="1134" w:bottom="1134" w:left="1134"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F6BB" w14:textId="77777777" w:rsidR="00105E62" w:rsidRDefault="00105E62">
      <w:r>
        <w:separator/>
      </w:r>
    </w:p>
  </w:endnote>
  <w:endnote w:type="continuationSeparator" w:id="0">
    <w:p w14:paraId="267389A2" w14:textId="77777777" w:rsidR="00105E62" w:rsidRDefault="0010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0FD" w14:textId="77777777" w:rsidR="00064F95" w:rsidRDefault="00064F95" w:rsidP="00064F9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71FB1D7" w14:textId="77777777" w:rsidR="00064F95" w:rsidRDefault="00064F9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22C2" w14:textId="736EE63F" w:rsidR="00064F95" w:rsidRDefault="00064F95" w:rsidP="00064F9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9396A">
      <w:rPr>
        <w:rStyle w:val="a4"/>
        <w:rFonts w:hint="eastAsia"/>
        <w:noProof/>
      </w:rPr>
      <w:t>４</w:t>
    </w:r>
    <w:r>
      <w:rPr>
        <w:rStyle w:val="a4"/>
      </w:rPr>
      <w:fldChar w:fldCharType="end"/>
    </w:r>
  </w:p>
  <w:p w14:paraId="6DBB2DE3" w14:textId="77777777" w:rsidR="00064F95" w:rsidRDefault="00064F9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563C" w14:textId="77777777" w:rsidR="00105E62" w:rsidRDefault="00105E62">
      <w:r>
        <w:separator/>
      </w:r>
    </w:p>
  </w:footnote>
  <w:footnote w:type="continuationSeparator" w:id="0">
    <w:p w14:paraId="62D3CD18" w14:textId="77777777" w:rsidR="00105E62" w:rsidRDefault="00105E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658"/>
    <w:multiLevelType w:val="multilevel"/>
    <w:tmpl w:val="0FCEB05A"/>
    <w:lvl w:ilvl="0">
      <w:start w:val="1"/>
      <w:numFmt w:val="taiwaneseCountingThousand"/>
      <w:lvlText w:val="第%1條"/>
      <w:lvlJc w:val="left"/>
      <w:pPr>
        <w:tabs>
          <w:tab w:val="num" w:pos="360"/>
        </w:tabs>
        <w:ind w:left="1134" w:hanging="1134"/>
      </w:pPr>
      <w:rPr>
        <w:rFonts w:ascii="Times New Roman" w:eastAsia="新細明體" w:hAnsi="Times New Roman" w:cs="Times New Roman" w:hint="eastAsia"/>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22F7563"/>
    <w:multiLevelType w:val="multilevel"/>
    <w:tmpl w:val="07F469BE"/>
    <w:lvl w:ilvl="0">
      <w:start w:val="1"/>
      <w:numFmt w:val="taiwaneseCountingThousand"/>
      <w:lvlText w:val="第%1條"/>
      <w:lvlJc w:val="left"/>
      <w:pPr>
        <w:tabs>
          <w:tab w:val="num" w:pos="360"/>
        </w:tabs>
        <w:ind w:left="360" w:hanging="360"/>
      </w:pPr>
      <w:rPr>
        <w:rFonts w:ascii="Times New Roman" w:eastAsia="Times New Roman" w:hAnsi="Times New Roman" w:cs="Times New Roman"/>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4584352"/>
    <w:multiLevelType w:val="hybridMultilevel"/>
    <w:tmpl w:val="CC0ED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5C7FD6"/>
    <w:multiLevelType w:val="multilevel"/>
    <w:tmpl w:val="8820CB76"/>
    <w:lvl w:ilvl="0">
      <w:start w:val="1"/>
      <w:numFmt w:val="taiwaneseCountingThousand"/>
      <w:lvlText w:val="第%1條"/>
      <w:lvlJc w:val="left"/>
      <w:pPr>
        <w:tabs>
          <w:tab w:val="num" w:pos="360"/>
        </w:tabs>
        <w:ind w:left="360" w:hanging="360"/>
      </w:pPr>
      <w:rPr>
        <w:rFonts w:ascii="Times New Roman" w:eastAsia="Times New Roman" w:hAnsi="Times New Roman" w:cs="Times New Roman"/>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6DB2084"/>
    <w:multiLevelType w:val="hybridMultilevel"/>
    <w:tmpl w:val="231EC036"/>
    <w:lvl w:ilvl="0" w:tplc="8D5EC00C">
      <w:start w:val="1"/>
      <w:numFmt w:val="taiwaneseCountingThousand"/>
      <w:lvlText w:val="%1、"/>
      <w:lvlJc w:val="left"/>
      <w:pPr>
        <w:tabs>
          <w:tab w:val="num" w:pos="600"/>
        </w:tabs>
        <w:ind w:left="600" w:hanging="60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7A4B48"/>
    <w:multiLevelType w:val="hybridMultilevel"/>
    <w:tmpl w:val="7FDCA8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280215"/>
    <w:multiLevelType w:val="hybridMultilevel"/>
    <w:tmpl w:val="427614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4F0EB6"/>
    <w:multiLevelType w:val="multilevel"/>
    <w:tmpl w:val="8820CB76"/>
    <w:lvl w:ilvl="0">
      <w:start w:val="1"/>
      <w:numFmt w:val="taiwaneseCountingThousand"/>
      <w:lvlText w:val="第%1條"/>
      <w:lvlJc w:val="left"/>
      <w:pPr>
        <w:tabs>
          <w:tab w:val="num" w:pos="360"/>
        </w:tabs>
        <w:ind w:left="360" w:hanging="360"/>
      </w:pPr>
      <w:rPr>
        <w:rFonts w:ascii="Times New Roman" w:eastAsia="Times New Roman" w:hAnsi="Times New Roman" w:cs="Times New Roman"/>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0E660244"/>
    <w:multiLevelType w:val="multilevel"/>
    <w:tmpl w:val="1C1CBDB2"/>
    <w:lvl w:ilvl="0">
      <w:start w:val="1"/>
      <w:numFmt w:val="taiwaneseCountingThousand"/>
      <w:lvlText w:val="第%1條"/>
      <w:lvlJc w:val="left"/>
      <w:pPr>
        <w:tabs>
          <w:tab w:val="num" w:pos="360"/>
        </w:tabs>
        <w:ind w:left="1162" w:hanging="1162"/>
      </w:pPr>
      <w:rPr>
        <w:rFonts w:ascii="Times New Roman" w:eastAsia="標楷體" w:hAnsi="Times New Roman" w:cs="Times New Roman" w:hint="default"/>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3030BB1"/>
    <w:multiLevelType w:val="multilevel"/>
    <w:tmpl w:val="AC8AA16C"/>
    <w:lvl w:ilvl="0">
      <w:start w:val="1"/>
      <w:numFmt w:val="taiwaneseCountingThousand"/>
      <w:lvlText w:val="第%1條"/>
      <w:lvlJc w:val="left"/>
      <w:pPr>
        <w:tabs>
          <w:tab w:val="num" w:pos="360"/>
        </w:tabs>
        <w:ind w:left="1134" w:hanging="1134"/>
      </w:pPr>
      <w:rPr>
        <w:rFonts w:ascii="Times New Roman" w:eastAsia="標楷體" w:hAnsi="Times New Roman" w:cs="Times New Roman" w:hint="default"/>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15592F8A"/>
    <w:multiLevelType w:val="multilevel"/>
    <w:tmpl w:val="65D06796"/>
    <w:lvl w:ilvl="0">
      <w:start w:val="1"/>
      <w:numFmt w:val="taiwaneseCountingThousand"/>
      <w:lvlText w:val="第%1條"/>
      <w:lvlJc w:val="left"/>
      <w:pPr>
        <w:tabs>
          <w:tab w:val="num" w:pos="360"/>
        </w:tabs>
        <w:ind w:left="1191" w:hanging="1191"/>
      </w:pPr>
      <w:rPr>
        <w:rFonts w:ascii="Times New Roman" w:eastAsia="標楷體" w:hAnsi="Times New Roman" w:cs="Times New Roman" w:hint="default"/>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62D703B"/>
    <w:multiLevelType w:val="hybridMultilevel"/>
    <w:tmpl w:val="4F1C742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8BB6114"/>
    <w:multiLevelType w:val="multilevel"/>
    <w:tmpl w:val="07F469BE"/>
    <w:lvl w:ilvl="0">
      <w:start w:val="1"/>
      <w:numFmt w:val="taiwaneseCountingThousand"/>
      <w:lvlText w:val="第%1條"/>
      <w:lvlJc w:val="left"/>
      <w:pPr>
        <w:tabs>
          <w:tab w:val="num" w:pos="360"/>
        </w:tabs>
        <w:ind w:left="360" w:hanging="360"/>
      </w:pPr>
      <w:rPr>
        <w:rFonts w:ascii="Times New Roman" w:eastAsia="Times New Roman" w:hAnsi="Times New Roman" w:cs="Times New Roman"/>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19155E09"/>
    <w:multiLevelType w:val="multilevel"/>
    <w:tmpl w:val="07F469BE"/>
    <w:lvl w:ilvl="0">
      <w:start w:val="1"/>
      <w:numFmt w:val="taiwaneseCountingThousand"/>
      <w:lvlText w:val="第%1條"/>
      <w:lvlJc w:val="left"/>
      <w:pPr>
        <w:tabs>
          <w:tab w:val="num" w:pos="360"/>
        </w:tabs>
        <w:ind w:left="360" w:hanging="360"/>
      </w:pPr>
      <w:rPr>
        <w:rFonts w:ascii="Times New Roman" w:eastAsia="Times New Roman" w:hAnsi="Times New Roman" w:cs="Times New Roman"/>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0797191"/>
    <w:multiLevelType w:val="multilevel"/>
    <w:tmpl w:val="32C4E35E"/>
    <w:lvl w:ilvl="0">
      <w:start w:val="1"/>
      <w:numFmt w:val="taiwaneseCountingThousand"/>
      <w:lvlText w:val="第%1條"/>
      <w:lvlJc w:val="left"/>
      <w:pPr>
        <w:tabs>
          <w:tab w:val="num" w:pos="360"/>
        </w:tabs>
        <w:ind w:left="1134" w:hanging="1134"/>
      </w:pPr>
      <w:rPr>
        <w:rFonts w:ascii="Times New Roman" w:eastAsia="新細明體" w:hAnsi="Times New Roman" w:cs="Times New Roman" w:hint="eastAsia"/>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6AC5321"/>
    <w:multiLevelType w:val="hybridMultilevel"/>
    <w:tmpl w:val="D382A4D2"/>
    <w:lvl w:ilvl="0" w:tplc="54AEEF3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3DD5B2D"/>
    <w:multiLevelType w:val="multilevel"/>
    <w:tmpl w:val="B074FA34"/>
    <w:lvl w:ilvl="0">
      <w:start w:val="1"/>
      <w:numFmt w:val="taiwaneseCountingThousand"/>
      <w:lvlText w:val="第%1條"/>
      <w:lvlJc w:val="left"/>
      <w:pPr>
        <w:tabs>
          <w:tab w:val="num" w:pos="360"/>
        </w:tabs>
        <w:ind w:left="1134" w:hanging="1134"/>
      </w:pPr>
      <w:rPr>
        <w:rFonts w:ascii="Times New Roman" w:eastAsia="新細明體" w:hAnsi="Times New Roman" w:cs="Times New Roman" w:hint="eastAsia"/>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37E46E3C"/>
    <w:multiLevelType w:val="hybridMultilevel"/>
    <w:tmpl w:val="785C04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EF4F46"/>
    <w:multiLevelType w:val="multilevel"/>
    <w:tmpl w:val="4DA8A3D4"/>
    <w:lvl w:ilvl="0">
      <w:start w:val="1"/>
      <w:numFmt w:val="taiwaneseCountingThousand"/>
      <w:lvlText w:val="第%1條"/>
      <w:lvlJc w:val="left"/>
      <w:pPr>
        <w:tabs>
          <w:tab w:val="num" w:pos="360"/>
        </w:tabs>
        <w:ind w:left="1162" w:hanging="1162"/>
      </w:pPr>
      <w:rPr>
        <w:rFonts w:ascii="Times New Roman" w:eastAsia="標楷體" w:hAnsi="Times New Roman" w:cs="Times New Roman" w:hint="default"/>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7361E16"/>
    <w:multiLevelType w:val="hybridMultilevel"/>
    <w:tmpl w:val="9C561AE6"/>
    <w:lvl w:ilvl="0" w:tplc="04090015">
      <w:start w:val="1"/>
      <w:numFmt w:val="taiwaneseCountingThousand"/>
      <w:lvlText w:val="%1、"/>
      <w:lvlJc w:val="left"/>
      <w:pPr>
        <w:ind w:left="480" w:hanging="480"/>
      </w:pPr>
    </w:lvl>
    <w:lvl w:ilvl="1" w:tplc="69FC8536">
      <w:start w:val="1"/>
      <w:numFmt w:val="decimal"/>
      <w:lvlText w:val="%2."/>
      <w:lvlJc w:val="left"/>
      <w:pPr>
        <w:ind w:left="840" w:hanging="360"/>
      </w:pPr>
      <w:rPr>
        <w:rFonts w:hint="default"/>
      </w:rPr>
    </w:lvl>
    <w:lvl w:ilvl="2" w:tplc="B8D2FB9E">
      <w:start w:val="1"/>
      <w:numFmt w:val="decimal"/>
      <w:lvlText w:val="(%3)"/>
      <w:lvlJc w:val="left"/>
      <w:pPr>
        <w:ind w:left="36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4D7153"/>
    <w:multiLevelType w:val="multilevel"/>
    <w:tmpl w:val="07F469BE"/>
    <w:lvl w:ilvl="0">
      <w:start w:val="1"/>
      <w:numFmt w:val="taiwaneseCountingThousand"/>
      <w:lvlText w:val="第%1條"/>
      <w:lvlJc w:val="left"/>
      <w:pPr>
        <w:tabs>
          <w:tab w:val="num" w:pos="360"/>
        </w:tabs>
        <w:ind w:left="360" w:hanging="360"/>
      </w:pPr>
      <w:rPr>
        <w:rFonts w:ascii="Times New Roman" w:eastAsia="Times New Roman" w:hAnsi="Times New Roman" w:cs="Times New Roman"/>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492D7FD1"/>
    <w:multiLevelType w:val="multilevel"/>
    <w:tmpl w:val="07F469BE"/>
    <w:lvl w:ilvl="0">
      <w:start w:val="1"/>
      <w:numFmt w:val="taiwaneseCountingThousand"/>
      <w:lvlText w:val="第%1條"/>
      <w:lvlJc w:val="left"/>
      <w:pPr>
        <w:tabs>
          <w:tab w:val="num" w:pos="360"/>
        </w:tabs>
        <w:ind w:left="360" w:hanging="360"/>
      </w:pPr>
      <w:rPr>
        <w:rFonts w:ascii="Times New Roman" w:eastAsia="Times New Roman" w:hAnsi="Times New Roman" w:cs="Times New Roman"/>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53022ADC"/>
    <w:multiLevelType w:val="hybridMultilevel"/>
    <w:tmpl w:val="4398A338"/>
    <w:lvl w:ilvl="0" w:tplc="B718A4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5531739"/>
    <w:multiLevelType w:val="hybridMultilevel"/>
    <w:tmpl w:val="1E6A2A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3F6577"/>
    <w:multiLevelType w:val="hybridMultilevel"/>
    <w:tmpl w:val="263C1CD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AA1110A"/>
    <w:multiLevelType w:val="hybridMultilevel"/>
    <w:tmpl w:val="8C68D35E"/>
    <w:lvl w:ilvl="0" w:tplc="34945B4C">
      <w:start w:val="1"/>
      <w:numFmt w:val="taiwaneseCountingThousand"/>
      <w:lvlText w:val="第%1條"/>
      <w:lvlJc w:val="left"/>
      <w:pPr>
        <w:tabs>
          <w:tab w:val="num" w:pos="360"/>
        </w:tabs>
        <w:ind w:left="1162" w:hanging="1162"/>
      </w:pPr>
      <w:rPr>
        <w:rFonts w:ascii="Times New Roman" w:eastAsia="標楷體" w:hAnsi="Times New Roman" w:cs="Times New Roman" w:hint="default"/>
        <w:lang w:val="en-US"/>
      </w:rPr>
    </w:lvl>
    <w:lvl w:ilvl="1" w:tplc="1ADCC56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C0D2169"/>
    <w:multiLevelType w:val="multilevel"/>
    <w:tmpl w:val="07F469BE"/>
    <w:lvl w:ilvl="0">
      <w:start w:val="1"/>
      <w:numFmt w:val="taiwaneseCountingThousand"/>
      <w:lvlText w:val="第%1條"/>
      <w:lvlJc w:val="left"/>
      <w:pPr>
        <w:tabs>
          <w:tab w:val="num" w:pos="360"/>
        </w:tabs>
        <w:ind w:left="360" w:hanging="360"/>
      </w:pPr>
      <w:rPr>
        <w:rFonts w:ascii="Times New Roman" w:eastAsia="Times New Roman" w:hAnsi="Times New Roman" w:cs="Times New Roman"/>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5CE5029E"/>
    <w:multiLevelType w:val="multilevel"/>
    <w:tmpl w:val="07F469BE"/>
    <w:lvl w:ilvl="0">
      <w:start w:val="1"/>
      <w:numFmt w:val="taiwaneseCountingThousand"/>
      <w:lvlText w:val="第%1條"/>
      <w:lvlJc w:val="left"/>
      <w:pPr>
        <w:tabs>
          <w:tab w:val="num" w:pos="360"/>
        </w:tabs>
        <w:ind w:left="360" w:hanging="360"/>
      </w:pPr>
      <w:rPr>
        <w:rFonts w:ascii="Times New Roman" w:eastAsia="Times New Roman" w:hAnsi="Times New Roman" w:cs="Times New Roman"/>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5D171092"/>
    <w:multiLevelType w:val="multilevel"/>
    <w:tmpl w:val="07F469BE"/>
    <w:lvl w:ilvl="0">
      <w:start w:val="1"/>
      <w:numFmt w:val="taiwaneseCountingThousand"/>
      <w:lvlText w:val="第%1條"/>
      <w:lvlJc w:val="left"/>
      <w:pPr>
        <w:tabs>
          <w:tab w:val="num" w:pos="360"/>
        </w:tabs>
        <w:ind w:left="360" w:hanging="360"/>
      </w:pPr>
      <w:rPr>
        <w:rFonts w:ascii="Times New Roman" w:eastAsia="Times New Roman" w:hAnsi="Times New Roman" w:cs="Times New Roman"/>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F227401"/>
    <w:multiLevelType w:val="hybridMultilevel"/>
    <w:tmpl w:val="7706C2FE"/>
    <w:lvl w:ilvl="0" w:tplc="5582F1E4">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4F6FD4"/>
    <w:multiLevelType w:val="multilevel"/>
    <w:tmpl w:val="0FCEB05A"/>
    <w:lvl w:ilvl="0">
      <w:start w:val="1"/>
      <w:numFmt w:val="taiwaneseCountingThousand"/>
      <w:lvlText w:val="第%1條"/>
      <w:lvlJc w:val="left"/>
      <w:pPr>
        <w:tabs>
          <w:tab w:val="num" w:pos="360"/>
        </w:tabs>
        <w:ind w:left="1134" w:hanging="1134"/>
      </w:pPr>
      <w:rPr>
        <w:rFonts w:ascii="Times New Roman" w:eastAsia="新細明體" w:hAnsi="Times New Roman" w:cs="Times New Roman" w:hint="eastAsia"/>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6A5E5C5E"/>
    <w:multiLevelType w:val="multilevel"/>
    <w:tmpl w:val="D408F428"/>
    <w:lvl w:ilvl="0">
      <w:start w:val="1"/>
      <w:numFmt w:val="taiwaneseCountingThousand"/>
      <w:lvlText w:val="第%1條"/>
      <w:lvlJc w:val="left"/>
      <w:pPr>
        <w:tabs>
          <w:tab w:val="num" w:pos="360"/>
        </w:tabs>
        <w:ind w:left="1162" w:hanging="1162"/>
      </w:pPr>
      <w:rPr>
        <w:rFonts w:ascii="Times New Roman" w:eastAsia="標楷體" w:hAnsi="Times New Roman" w:cs="Times New Roman" w:hint="default"/>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6FF14242"/>
    <w:multiLevelType w:val="hybridMultilevel"/>
    <w:tmpl w:val="F4F28EDE"/>
    <w:lvl w:ilvl="0" w:tplc="7290794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15:restartNumberingAfterBreak="0">
    <w:nsid w:val="77B478DD"/>
    <w:multiLevelType w:val="hybridMultilevel"/>
    <w:tmpl w:val="FC98E0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EC1C56"/>
    <w:multiLevelType w:val="multilevel"/>
    <w:tmpl w:val="07F469BE"/>
    <w:lvl w:ilvl="0">
      <w:start w:val="1"/>
      <w:numFmt w:val="taiwaneseCountingThousand"/>
      <w:lvlText w:val="第%1條"/>
      <w:lvlJc w:val="left"/>
      <w:pPr>
        <w:tabs>
          <w:tab w:val="num" w:pos="360"/>
        </w:tabs>
        <w:ind w:left="360" w:hanging="360"/>
      </w:pPr>
      <w:rPr>
        <w:rFonts w:ascii="Times New Roman" w:eastAsia="Times New Roman" w:hAnsi="Times New Roman" w:cs="Times New Roman"/>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7ADE60BD"/>
    <w:multiLevelType w:val="multilevel"/>
    <w:tmpl w:val="AC8AA16C"/>
    <w:lvl w:ilvl="0">
      <w:start w:val="1"/>
      <w:numFmt w:val="taiwaneseCountingThousand"/>
      <w:lvlText w:val="第%1條"/>
      <w:lvlJc w:val="left"/>
      <w:pPr>
        <w:tabs>
          <w:tab w:val="num" w:pos="360"/>
        </w:tabs>
        <w:ind w:left="1134" w:hanging="1134"/>
      </w:pPr>
      <w:rPr>
        <w:rFonts w:ascii="Times New Roman" w:eastAsia="標楷體" w:hAnsi="Times New Roman" w:cs="Times New Roman" w:hint="default"/>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7E236BBB"/>
    <w:multiLevelType w:val="multilevel"/>
    <w:tmpl w:val="1C1CBDB2"/>
    <w:lvl w:ilvl="0">
      <w:start w:val="1"/>
      <w:numFmt w:val="taiwaneseCountingThousand"/>
      <w:lvlText w:val="第%1條"/>
      <w:lvlJc w:val="left"/>
      <w:pPr>
        <w:tabs>
          <w:tab w:val="num" w:pos="360"/>
        </w:tabs>
        <w:ind w:left="1162" w:hanging="1162"/>
      </w:pPr>
      <w:rPr>
        <w:rFonts w:ascii="Times New Roman" w:eastAsia="標楷體" w:hAnsi="Times New Roman" w:cs="Times New Roman" w:hint="default"/>
        <w:lang w:val="en-US"/>
      </w:rPr>
    </w:lvl>
    <w:lvl w:ilvl="1">
      <w:start w:val="1"/>
      <w:numFmt w:val="taiwaneseCountingThousand"/>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15"/>
  </w:num>
  <w:num w:numId="3">
    <w:abstractNumId w:val="29"/>
  </w:num>
  <w:num w:numId="4">
    <w:abstractNumId w:val="25"/>
  </w:num>
  <w:num w:numId="5">
    <w:abstractNumId w:val="11"/>
  </w:num>
  <w:num w:numId="6">
    <w:abstractNumId w:val="22"/>
  </w:num>
  <w:num w:numId="7">
    <w:abstractNumId w:val="32"/>
  </w:num>
  <w:num w:numId="8">
    <w:abstractNumId w:val="3"/>
  </w:num>
  <w:num w:numId="9">
    <w:abstractNumId w:val="7"/>
  </w:num>
  <w:num w:numId="10">
    <w:abstractNumId w:val="27"/>
  </w:num>
  <w:num w:numId="11">
    <w:abstractNumId w:val="1"/>
  </w:num>
  <w:num w:numId="12">
    <w:abstractNumId w:val="21"/>
  </w:num>
  <w:num w:numId="13">
    <w:abstractNumId w:val="26"/>
  </w:num>
  <w:num w:numId="14">
    <w:abstractNumId w:val="13"/>
  </w:num>
  <w:num w:numId="15">
    <w:abstractNumId w:val="20"/>
  </w:num>
  <w:num w:numId="16">
    <w:abstractNumId w:val="12"/>
  </w:num>
  <w:num w:numId="17">
    <w:abstractNumId w:val="28"/>
  </w:num>
  <w:num w:numId="18">
    <w:abstractNumId w:val="34"/>
  </w:num>
  <w:num w:numId="19">
    <w:abstractNumId w:val="16"/>
  </w:num>
  <w:num w:numId="20">
    <w:abstractNumId w:val="14"/>
  </w:num>
  <w:num w:numId="21">
    <w:abstractNumId w:val="0"/>
  </w:num>
  <w:num w:numId="22">
    <w:abstractNumId w:val="30"/>
  </w:num>
  <w:num w:numId="23">
    <w:abstractNumId w:val="35"/>
  </w:num>
  <w:num w:numId="24">
    <w:abstractNumId w:val="9"/>
  </w:num>
  <w:num w:numId="25">
    <w:abstractNumId w:val="10"/>
  </w:num>
  <w:num w:numId="26">
    <w:abstractNumId w:val="8"/>
  </w:num>
  <w:num w:numId="27">
    <w:abstractNumId w:val="36"/>
  </w:num>
  <w:num w:numId="28">
    <w:abstractNumId w:val="18"/>
  </w:num>
  <w:num w:numId="29">
    <w:abstractNumId w:val="31"/>
  </w:num>
  <w:num w:numId="30">
    <w:abstractNumId w:val="24"/>
  </w:num>
  <w:num w:numId="31">
    <w:abstractNumId w:val="19"/>
  </w:num>
  <w:num w:numId="32">
    <w:abstractNumId w:val="23"/>
  </w:num>
  <w:num w:numId="33">
    <w:abstractNumId w:val="5"/>
  </w:num>
  <w:num w:numId="34">
    <w:abstractNumId w:val="33"/>
  </w:num>
  <w:num w:numId="35">
    <w:abstractNumId w:val="17"/>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B8"/>
    <w:rsid w:val="00001EB5"/>
    <w:rsid w:val="0000583B"/>
    <w:rsid w:val="00025236"/>
    <w:rsid w:val="00025255"/>
    <w:rsid w:val="00026FA1"/>
    <w:rsid w:val="00034153"/>
    <w:rsid w:val="000509FD"/>
    <w:rsid w:val="00056C38"/>
    <w:rsid w:val="00063F89"/>
    <w:rsid w:val="00064F95"/>
    <w:rsid w:val="00066F50"/>
    <w:rsid w:val="00105E62"/>
    <w:rsid w:val="00114372"/>
    <w:rsid w:val="001259ED"/>
    <w:rsid w:val="001337DC"/>
    <w:rsid w:val="001376D6"/>
    <w:rsid w:val="001443BD"/>
    <w:rsid w:val="00162A0E"/>
    <w:rsid w:val="00186A63"/>
    <w:rsid w:val="00193C80"/>
    <w:rsid w:val="001A1ECB"/>
    <w:rsid w:val="001A6B96"/>
    <w:rsid w:val="001B0C1A"/>
    <w:rsid w:val="001C363C"/>
    <w:rsid w:val="001C3680"/>
    <w:rsid w:val="001E3D3F"/>
    <w:rsid w:val="001F70DE"/>
    <w:rsid w:val="00204DFC"/>
    <w:rsid w:val="002079EA"/>
    <w:rsid w:val="00213CB2"/>
    <w:rsid w:val="0024602F"/>
    <w:rsid w:val="002A4BFB"/>
    <w:rsid w:val="002B3716"/>
    <w:rsid w:val="002D7DB7"/>
    <w:rsid w:val="00304270"/>
    <w:rsid w:val="003162F0"/>
    <w:rsid w:val="003178BB"/>
    <w:rsid w:val="00322F16"/>
    <w:rsid w:val="00330FCB"/>
    <w:rsid w:val="003312EF"/>
    <w:rsid w:val="00362512"/>
    <w:rsid w:val="003740E4"/>
    <w:rsid w:val="00382DB5"/>
    <w:rsid w:val="00392043"/>
    <w:rsid w:val="003A47AF"/>
    <w:rsid w:val="003B791C"/>
    <w:rsid w:val="003C03AB"/>
    <w:rsid w:val="003F20F9"/>
    <w:rsid w:val="003F3156"/>
    <w:rsid w:val="00414E11"/>
    <w:rsid w:val="00417C24"/>
    <w:rsid w:val="00422741"/>
    <w:rsid w:val="00433D49"/>
    <w:rsid w:val="004375C7"/>
    <w:rsid w:val="0044434D"/>
    <w:rsid w:val="004515C5"/>
    <w:rsid w:val="004650BC"/>
    <w:rsid w:val="00493EF7"/>
    <w:rsid w:val="004A2CDD"/>
    <w:rsid w:val="004A4625"/>
    <w:rsid w:val="00510820"/>
    <w:rsid w:val="005128F1"/>
    <w:rsid w:val="00523EDA"/>
    <w:rsid w:val="00536B7D"/>
    <w:rsid w:val="00536E92"/>
    <w:rsid w:val="00543392"/>
    <w:rsid w:val="00553FF7"/>
    <w:rsid w:val="00556B56"/>
    <w:rsid w:val="00560CB8"/>
    <w:rsid w:val="005679FA"/>
    <w:rsid w:val="005A66D2"/>
    <w:rsid w:val="005C6197"/>
    <w:rsid w:val="00604DD6"/>
    <w:rsid w:val="0061737C"/>
    <w:rsid w:val="006449E1"/>
    <w:rsid w:val="00645EA8"/>
    <w:rsid w:val="00650CCD"/>
    <w:rsid w:val="006565FC"/>
    <w:rsid w:val="00660189"/>
    <w:rsid w:val="00673BF0"/>
    <w:rsid w:val="006816B8"/>
    <w:rsid w:val="00696CC8"/>
    <w:rsid w:val="006A3A75"/>
    <w:rsid w:val="006E56C6"/>
    <w:rsid w:val="006F06AD"/>
    <w:rsid w:val="006F292D"/>
    <w:rsid w:val="006F4451"/>
    <w:rsid w:val="007169F4"/>
    <w:rsid w:val="00721702"/>
    <w:rsid w:val="00741A36"/>
    <w:rsid w:val="007730A7"/>
    <w:rsid w:val="0077345D"/>
    <w:rsid w:val="007A4A09"/>
    <w:rsid w:val="007F009E"/>
    <w:rsid w:val="00823A13"/>
    <w:rsid w:val="008351A5"/>
    <w:rsid w:val="00854F1B"/>
    <w:rsid w:val="00866F2F"/>
    <w:rsid w:val="008E643E"/>
    <w:rsid w:val="0091252F"/>
    <w:rsid w:val="009252B3"/>
    <w:rsid w:val="00925DC6"/>
    <w:rsid w:val="009453AA"/>
    <w:rsid w:val="009508FA"/>
    <w:rsid w:val="009515C4"/>
    <w:rsid w:val="0095273F"/>
    <w:rsid w:val="00987EE4"/>
    <w:rsid w:val="0099396A"/>
    <w:rsid w:val="009A73F7"/>
    <w:rsid w:val="009B4E50"/>
    <w:rsid w:val="009F1957"/>
    <w:rsid w:val="00A2631D"/>
    <w:rsid w:val="00A62240"/>
    <w:rsid w:val="00A7444C"/>
    <w:rsid w:val="00A74759"/>
    <w:rsid w:val="00A95FC2"/>
    <w:rsid w:val="00AA6F92"/>
    <w:rsid w:val="00AC0B42"/>
    <w:rsid w:val="00AC5B21"/>
    <w:rsid w:val="00AC6CB5"/>
    <w:rsid w:val="00AC6E2E"/>
    <w:rsid w:val="00AF54EB"/>
    <w:rsid w:val="00AF5577"/>
    <w:rsid w:val="00B22D3B"/>
    <w:rsid w:val="00B34D7C"/>
    <w:rsid w:val="00B42BF3"/>
    <w:rsid w:val="00B44B56"/>
    <w:rsid w:val="00B61B1D"/>
    <w:rsid w:val="00B82432"/>
    <w:rsid w:val="00B91A1D"/>
    <w:rsid w:val="00B92FCA"/>
    <w:rsid w:val="00BA282B"/>
    <w:rsid w:val="00BD41E4"/>
    <w:rsid w:val="00BD7902"/>
    <w:rsid w:val="00BE1EDB"/>
    <w:rsid w:val="00BE61E3"/>
    <w:rsid w:val="00C0577C"/>
    <w:rsid w:val="00C35F01"/>
    <w:rsid w:val="00C528B1"/>
    <w:rsid w:val="00C65E1F"/>
    <w:rsid w:val="00C73D77"/>
    <w:rsid w:val="00C73D78"/>
    <w:rsid w:val="00CB5B33"/>
    <w:rsid w:val="00CC0086"/>
    <w:rsid w:val="00CF6D82"/>
    <w:rsid w:val="00D02656"/>
    <w:rsid w:val="00D12ECD"/>
    <w:rsid w:val="00D45FD8"/>
    <w:rsid w:val="00D52000"/>
    <w:rsid w:val="00D72C1A"/>
    <w:rsid w:val="00D7508F"/>
    <w:rsid w:val="00DC23D5"/>
    <w:rsid w:val="00E0472F"/>
    <w:rsid w:val="00E0704E"/>
    <w:rsid w:val="00E22D12"/>
    <w:rsid w:val="00E34A20"/>
    <w:rsid w:val="00E35BC4"/>
    <w:rsid w:val="00E71D4E"/>
    <w:rsid w:val="00E91842"/>
    <w:rsid w:val="00EA2765"/>
    <w:rsid w:val="00EC1EEB"/>
    <w:rsid w:val="00F072E9"/>
    <w:rsid w:val="00F32174"/>
    <w:rsid w:val="00F32E05"/>
    <w:rsid w:val="00F36A51"/>
    <w:rsid w:val="00F435F1"/>
    <w:rsid w:val="00F56F61"/>
    <w:rsid w:val="00F610A9"/>
    <w:rsid w:val="00F820DE"/>
    <w:rsid w:val="00FC439E"/>
    <w:rsid w:val="00FE0786"/>
    <w:rsid w:val="00FE7AA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10B89"/>
  <w15:chartTrackingRefBased/>
  <w15:docId w15:val="{FCEADF74-CB22-46D8-BC26-8ED866FD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22D3B"/>
    <w:pPr>
      <w:widowControl/>
      <w:spacing w:before="100" w:beforeAutospacing="1" w:after="100" w:afterAutospacing="1"/>
    </w:pPr>
    <w:rPr>
      <w:rFonts w:ascii="新細明體" w:hAnsi="新細明體" w:cs="新細明體"/>
      <w:kern w:val="0"/>
    </w:rPr>
  </w:style>
  <w:style w:type="paragraph" w:styleId="a3">
    <w:name w:val="footer"/>
    <w:basedOn w:val="a"/>
    <w:rsid w:val="00064F95"/>
    <w:pPr>
      <w:tabs>
        <w:tab w:val="center" w:pos="4153"/>
        <w:tab w:val="right" w:pos="8306"/>
      </w:tabs>
      <w:snapToGrid w:val="0"/>
    </w:pPr>
    <w:rPr>
      <w:sz w:val="20"/>
      <w:szCs w:val="20"/>
    </w:rPr>
  </w:style>
  <w:style w:type="character" w:styleId="a4">
    <w:name w:val="page number"/>
    <w:basedOn w:val="a0"/>
    <w:rsid w:val="00064F95"/>
  </w:style>
  <w:style w:type="paragraph" w:styleId="a5">
    <w:name w:val="header"/>
    <w:basedOn w:val="a"/>
    <w:link w:val="a6"/>
    <w:rsid w:val="007A4A09"/>
    <w:pPr>
      <w:tabs>
        <w:tab w:val="center" w:pos="4153"/>
        <w:tab w:val="right" w:pos="8306"/>
      </w:tabs>
      <w:snapToGrid w:val="0"/>
    </w:pPr>
    <w:rPr>
      <w:sz w:val="20"/>
      <w:szCs w:val="20"/>
      <w:lang w:eastAsia="x-none"/>
    </w:rPr>
  </w:style>
  <w:style w:type="character" w:customStyle="1" w:styleId="a6">
    <w:name w:val="頁首 字元"/>
    <w:link w:val="a5"/>
    <w:rsid w:val="007A4A09"/>
    <w:rPr>
      <w:kern w:val="2"/>
    </w:rPr>
  </w:style>
  <w:style w:type="paragraph" w:styleId="a7">
    <w:name w:val="List Paragraph"/>
    <w:basedOn w:val="a"/>
    <w:link w:val="a8"/>
    <w:uiPriority w:val="34"/>
    <w:qFormat/>
    <w:rsid w:val="007169F4"/>
    <w:pPr>
      <w:ind w:leftChars="200" w:left="480"/>
    </w:pPr>
    <w:rPr>
      <w:lang w:eastAsia="x-none"/>
    </w:rPr>
  </w:style>
  <w:style w:type="character" w:customStyle="1" w:styleId="a8">
    <w:name w:val="清單段落 字元"/>
    <w:link w:val="a7"/>
    <w:uiPriority w:val="34"/>
    <w:rsid w:val="00560CB8"/>
    <w:rPr>
      <w:kern w:val="2"/>
      <w:sz w:val="24"/>
      <w:szCs w:val="24"/>
    </w:rPr>
  </w:style>
  <w:style w:type="paragraph" w:styleId="a9">
    <w:name w:val="Balloon Text"/>
    <w:basedOn w:val="a"/>
    <w:link w:val="aa"/>
    <w:rsid w:val="009F1957"/>
    <w:rPr>
      <w:rFonts w:ascii="Calibri Light" w:hAnsi="Calibri Light"/>
      <w:sz w:val="18"/>
      <w:szCs w:val="18"/>
    </w:rPr>
  </w:style>
  <w:style w:type="character" w:customStyle="1" w:styleId="aa">
    <w:name w:val="註解方塊文字 字元"/>
    <w:link w:val="a9"/>
    <w:rsid w:val="009F1957"/>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國立交通大學土木工程學系碩士班研究生逕修讀博士學位辦法</dc:title>
  <dc:subject/>
  <dc:creator>admin</dc:creator>
  <cp:keywords/>
  <cp:lastModifiedBy>user</cp:lastModifiedBy>
  <cp:revision>8</cp:revision>
  <cp:lastPrinted>2021-03-18T03:37:00Z</cp:lastPrinted>
  <dcterms:created xsi:type="dcterms:W3CDTF">2022-07-05T09:38:00Z</dcterms:created>
  <dcterms:modified xsi:type="dcterms:W3CDTF">2022-08-03T08:18:00Z</dcterms:modified>
</cp:coreProperties>
</file>