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1A251" w14:textId="77777777" w:rsidR="0080684C" w:rsidRDefault="000E71E7" w:rsidP="000108AE">
      <w:pPr>
        <w:pBdr>
          <w:bottom w:val="thickThinSmallGap" w:sz="24" w:space="1" w:color="auto"/>
        </w:pBdr>
        <w:adjustRightInd/>
        <w:spacing w:line="0" w:lineRule="atLeast"/>
        <w:jc w:val="center"/>
        <w:rPr>
          <w:rFonts w:eastAsia="標楷體"/>
          <w:color w:val="000000"/>
          <w:sz w:val="36"/>
        </w:rPr>
      </w:pPr>
      <w:r w:rsidRPr="0080684C">
        <w:rPr>
          <w:rFonts w:eastAsia="標楷體"/>
          <w:color w:val="000000"/>
          <w:sz w:val="36"/>
        </w:rPr>
        <w:t>國立陽明交通大學土木工程學系</w:t>
      </w:r>
    </w:p>
    <w:p w14:paraId="5B9A7C8E" w14:textId="75562764" w:rsidR="000E71E7" w:rsidRDefault="000E71E7" w:rsidP="000108AE">
      <w:pPr>
        <w:pBdr>
          <w:bottom w:val="thickThinSmallGap" w:sz="24" w:space="1" w:color="auto"/>
        </w:pBdr>
        <w:adjustRightInd/>
        <w:spacing w:line="0" w:lineRule="atLeast"/>
        <w:jc w:val="center"/>
        <w:rPr>
          <w:rFonts w:eastAsia="標楷體"/>
          <w:color w:val="000000"/>
          <w:sz w:val="36"/>
        </w:rPr>
      </w:pPr>
      <w:r w:rsidRPr="0080684C">
        <w:rPr>
          <w:rFonts w:eastAsia="標楷體"/>
          <w:color w:val="000000"/>
          <w:sz w:val="36"/>
        </w:rPr>
        <w:t>博士班學生英語能力測驗辦法施行細則</w:t>
      </w:r>
    </w:p>
    <w:p w14:paraId="053230FA" w14:textId="718D8DDB" w:rsidR="0080684C" w:rsidRPr="0080684C" w:rsidRDefault="0080684C" w:rsidP="0080684C">
      <w:pPr>
        <w:pBdr>
          <w:bottom w:val="thickThinSmallGap" w:sz="24" w:space="1" w:color="auto"/>
        </w:pBdr>
        <w:adjustRightInd/>
        <w:spacing w:line="0" w:lineRule="atLeast"/>
        <w:jc w:val="center"/>
        <w:rPr>
          <w:rFonts w:eastAsia="標楷體" w:hint="eastAsia"/>
          <w:iCs/>
          <w:color w:val="000000"/>
          <w:sz w:val="36"/>
          <w:szCs w:val="36"/>
        </w:rPr>
      </w:pPr>
      <w:r w:rsidRPr="0080684C">
        <w:rPr>
          <w:rFonts w:eastAsia="標楷體"/>
          <w:color w:val="000000"/>
          <w:sz w:val="36"/>
        </w:rPr>
        <w:t>Department of Civil Engineering</w:t>
      </w:r>
    </w:p>
    <w:p w14:paraId="21F824B3" w14:textId="77777777" w:rsidR="0080684C" w:rsidRDefault="00FD6621" w:rsidP="0080684C">
      <w:pPr>
        <w:pBdr>
          <w:bottom w:val="thickThinSmallGap" w:sz="24" w:space="1" w:color="auto"/>
        </w:pBdr>
        <w:adjustRightInd/>
        <w:spacing w:line="0" w:lineRule="atLeast"/>
        <w:jc w:val="center"/>
        <w:rPr>
          <w:rFonts w:eastAsia="標楷體"/>
          <w:color w:val="000000"/>
          <w:sz w:val="36"/>
        </w:rPr>
      </w:pPr>
      <w:r w:rsidRPr="0080684C">
        <w:rPr>
          <w:rFonts w:eastAsia="標楷體"/>
          <w:color w:val="000000"/>
          <w:sz w:val="36"/>
        </w:rPr>
        <w:t>N</w:t>
      </w:r>
      <w:r w:rsidRPr="0080684C">
        <w:rPr>
          <w:rFonts w:eastAsia="標楷體"/>
          <w:color w:val="000000"/>
          <w:sz w:val="36"/>
        </w:rPr>
        <w:t xml:space="preserve">ational Yang Ming Chiao Tung University </w:t>
      </w:r>
    </w:p>
    <w:p w14:paraId="50A93EE2" w14:textId="5E87FCBF" w:rsidR="00FD6621" w:rsidRPr="0080684C" w:rsidRDefault="00FD6621" w:rsidP="0080684C">
      <w:pPr>
        <w:pBdr>
          <w:bottom w:val="thickThinSmallGap" w:sz="24" w:space="1" w:color="auto"/>
        </w:pBdr>
        <w:adjustRightInd/>
        <w:spacing w:line="0" w:lineRule="atLeast"/>
        <w:jc w:val="center"/>
        <w:rPr>
          <w:rFonts w:eastAsia="標楷體"/>
          <w:color w:val="000000"/>
          <w:sz w:val="36"/>
          <w:szCs w:val="36"/>
        </w:rPr>
      </w:pPr>
      <w:r w:rsidRPr="0080684C">
        <w:rPr>
          <w:rFonts w:eastAsia="標楷體"/>
          <w:color w:val="000000"/>
          <w:sz w:val="36"/>
        </w:rPr>
        <w:t>Detailed Rules for the Implementation of the English Proficiency Test for PhD Students</w:t>
      </w:r>
    </w:p>
    <w:p w14:paraId="07DE4224" w14:textId="77777777" w:rsidR="00993A99" w:rsidRPr="0080684C" w:rsidRDefault="00993A99" w:rsidP="000108AE">
      <w:pPr>
        <w:snapToGrid w:val="0"/>
        <w:spacing w:line="0" w:lineRule="atLeast"/>
        <w:jc w:val="right"/>
        <w:rPr>
          <w:rFonts w:eastAsia="標楷體"/>
          <w:bCs/>
          <w:color w:val="000000"/>
          <w:sz w:val="20"/>
        </w:rPr>
      </w:pPr>
      <w:r w:rsidRPr="0080684C">
        <w:rPr>
          <w:rFonts w:eastAsia="標楷體"/>
          <w:color w:val="000000"/>
          <w:sz w:val="20"/>
        </w:rPr>
        <w:t>2021</w:t>
      </w:r>
      <w:r w:rsidRPr="0080684C">
        <w:rPr>
          <w:rFonts w:eastAsia="標楷體"/>
          <w:color w:val="000000"/>
          <w:sz w:val="20"/>
        </w:rPr>
        <w:t>年</w:t>
      </w:r>
      <w:r w:rsidRPr="0080684C">
        <w:rPr>
          <w:rFonts w:eastAsia="標楷體"/>
          <w:color w:val="000000"/>
          <w:sz w:val="20"/>
        </w:rPr>
        <w:t>11</w:t>
      </w:r>
      <w:r w:rsidRPr="0080684C">
        <w:rPr>
          <w:rFonts w:eastAsia="標楷體"/>
          <w:color w:val="000000"/>
          <w:sz w:val="20"/>
        </w:rPr>
        <w:t>月</w:t>
      </w:r>
      <w:r w:rsidRPr="0080684C">
        <w:rPr>
          <w:rFonts w:eastAsia="標楷體"/>
          <w:color w:val="000000"/>
          <w:sz w:val="20"/>
        </w:rPr>
        <w:t>17</w:t>
      </w:r>
      <w:r w:rsidRPr="0080684C">
        <w:rPr>
          <w:rFonts w:eastAsia="標楷體"/>
          <w:color w:val="000000"/>
          <w:sz w:val="20"/>
        </w:rPr>
        <w:t>日</w:t>
      </w:r>
      <w:r w:rsidRPr="0080684C">
        <w:rPr>
          <w:rFonts w:eastAsia="標楷體"/>
          <w:color w:val="000000"/>
          <w:sz w:val="20"/>
        </w:rPr>
        <w:t>110</w:t>
      </w:r>
      <w:r w:rsidRPr="0080684C">
        <w:rPr>
          <w:rFonts w:eastAsia="標楷體"/>
          <w:color w:val="000000"/>
          <w:sz w:val="20"/>
        </w:rPr>
        <w:t>學年度第</w:t>
      </w:r>
      <w:r w:rsidRPr="0080684C">
        <w:rPr>
          <w:rFonts w:eastAsia="標楷體"/>
          <w:color w:val="000000"/>
          <w:sz w:val="20"/>
        </w:rPr>
        <w:t>1</w:t>
      </w:r>
      <w:r w:rsidRPr="0080684C">
        <w:rPr>
          <w:rFonts w:eastAsia="標楷體"/>
          <w:color w:val="000000"/>
          <w:sz w:val="20"/>
        </w:rPr>
        <w:t>學期第</w:t>
      </w:r>
      <w:r w:rsidRPr="0080684C">
        <w:rPr>
          <w:rFonts w:eastAsia="標楷體"/>
          <w:color w:val="000000"/>
          <w:sz w:val="20"/>
        </w:rPr>
        <w:t>3</w:t>
      </w:r>
      <w:r w:rsidRPr="0080684C">
        <w:rPr>
          <w:rFonts w:eastAsia="標楷體"/>
          <w:color w:val="000000"/>
          <w:sz w:val="20"/>
        </w:rPr>
        <w:t>次系務會議通過</w:t>
      </w:r>
    </w:p>
    <w:p w14:paraId="749C10FA" w14:textId="64A710E0" w:rsidR="00FD6621" w:rsidRPr="0080684C" w:rsidRDefault="0080684C" w:rsidP="000108AE">
      <w:pPr>
        <w:snapToGrid w:val="0"/>
        <w:spacing w:line="0" w:lineRule="atLeast"/>
        <w:jc w:val="right"/>
        <w:rPr>
          <w:rFonts w:eastAsia="標楷體"/>
          <w:bCs/>
          <w:color w:val="000000"/>
          <w:sz w:val="20"/>
        </w:rPr>
      </w:pPr>
      <w:r>
        <w:rPr>
          <w:rFonts w:eastAsia="標楷體"/>
          <w:color w:val="000000"/>
          <w:sz w:val="20"/>
        </w:rPr>
        <w:t xml:space="preserve">Passed by </w:t>
      </w:r>
      <w:r w:rsidR="00FD6621" w:rsidRPr="0080684C">
        <w:rPr>
          <w:rFonts w:eastAsia="標楷體"/>
          <w:color w:val="000000"/>
          <w:sz w:val="20"/>
        </w:rPr>
        <w:t>the 3rd Department Affairs Meeting of the 1st Semester of Academic Year 2021 on November 17, 2021</w:t>
      </w:r>
    </w:p>
    <w:p w14:paraId="224445FA" w14:textId="77777777" w:rsidR="00080A21" w:rsidRPr="0080684C" w:rsidRDefault="00080A21" w:rsidP="000108AE">
      <w:pPr>
        <w:snapToGrid w:val="0"/>
        <w:spacing w:line="0" w:lineRule="atLeast"/>
        <w:jc w:val="right"/>
        <w:rPr>
          <w:rFonts w:eastAsia="標楷體"/>
          <w:bCs/>
          <w:color w:val="000000"/>
          <w:sz w:val="20"/>
        </w:rPr>
      </w:pPr>
      <w:r w:rsidRPr="0080684C">
        <w:rPr>
          <w:rFonts w:eastAsia="標楷體"/>
          <w:color w:val="000000"/>
          <w:sz w:val="20"/>
        </w:rPr>
        <w:t>2022</w:t>
      </w:r>
      <w:r w:rsidRPr="0080684C">
        <w:rPr>
          <w:rFonts w:eastAsia="標楷體"/>
          <w:color w:val="000000"/>
          <w:sz w:val="20"/>
        </w:rPr>
        <w:t>年</w:t>
      </w:r>
      <w:r w:rsidRPr="0080684C">
        <w:rPr>
          <w:rFonts w:eastAsia="標楷體"/>
          <w:color w:val="000000"/>
          <w:sz w:val="20"/>
        </w:rPr>
        <w:t>03</w:t>
      </w:r>
      <w:r w:rsidRPr="0080684C">
        <w:rPr>
          <w:rFonts w:eastAsia="標楷體"/>
          <w:color w:val="000000"/>
          <w:sz w:val="20"/>
        </w:rPr>
        <w:t>月</w:t>
      </w:r>
      <w:r w:rsidRPr="0080684C">
        <w:rPr>
          <w:rFonts w:eastAsia="標楷體"/>
          <w:color w:val="000000"/>
          <w:sz w:val="20"/>
        </w:rPr>
        <w:t>02</w:t>
      </w:r>
      <w:r w:rsidRPr="0080684C">
        <w:rPr>
          <w:rFonts w:eastAsia="標楷體"/>
          <w:color w:val="000000"/>
          <w:sz w:val="20"/>
        </w:rPr>
        <w:t>日</w:t>
      </w:r>
      <w:r w:rsidRPr="0080684C">
        <w:rPr>
          <w:rFonts w:eastAsia="標楷體"/>
          <w:color w:val="000000"/>
          <w:sz w:val="20"/>
        </w:rPr>
        <w:t>110</w:t>
      </w:r>
      <w:r w:rsidRPr="0080684C">
        <w:rPr>
          <w:rFonts w:eastAsia="標楷體"/>
          <w:color w:val="000000"/>
          <w:sz w:val="20"/>
        </w:rPr>
        <w:t>學年度第</w:t>
      </w:r>
      <w:r w:rsidRPr="0080684C">
        <w:rPr>
          <w:rFonts w:eastAsia="標楷體"/>
          <w:color w:val="000000"/>
          <w:sz w:val="20"/>
        </w:rPr>
        <w:t>2</w:t>
      </w:r>
      <w:r w:rsidRPr="0080684C">
        <w:rPr>
          <w:rFonts w:eastAsia="標楷體"/>
          <w:color w:val="000000"/>
          <w:sz w:val="20"/>
        </w:rPr>
        <w:t>學期第</w:t>
      </w:r>
      <w:r w:rsidRPr="0080684C">
        <w:rPr>
          <w:rFonts w:eastAsia="標楷體"/>
          <w:color w:val="000000"/>
          <w:sz w:val="20"/>
        </w:rPr>
        <w:t>1</w:t>
      </w:r>
      <w:r w:rsidRPr="0080684C">
        <w:rPr>
          <w:rFonts w:eastAsia="標楷體"/>
          <w:color w:val="000000"/>
          <w:sz w:val="20"/>
        </w:rPr>
        <w:t>次系務會議通過</w:t>
      </w:r>
    </w:p>
    <w:p w14:paraId="303D44BD" w14:textId="737E8B89" w:rsidR="00FD6621" w:rsidRPr="0080684C" w:rsidRDefault="0080684C" w:rsidP="000108AE">
      <w:pPr>
        <w:snapToGrid w:val="0"/>
        <w:spacing w:line="0" w:lineRule="atLeast"/>
        <w:jc w:val="right"/>
        <w:rPr>
          <w:rFonts w:eastAsia="標楷體"/>
          <w:bCs/>
          <w:color w:val="000000"/>
          <w:sz w:val="20"/>
        </w:rPr>
      </w:pPr>
      <w:r>
        <w:rPr>
          <w:rFonts w:eastAsia="標楷體"/>
          <w:color w:val="000000"/>
          <w:sz w:val="20"/>
        </w:rPr>
        <w:t>Passed by</w:t>
      </w:r>
      <w:r w:rsidR="00FD6621" w:rsidRPr="0080684C">
        <w:rPr>
          <w:rFonts w:eastAsia="標楷體"/>
          <w:color w:val="000000"/>
          <w:sz w:val="20"/>
        </w:rPr>
        <w:t xml:space="preserve"> the 1st Department Affairs Meeting of the 2nd Semester of Academic Year 2021 on March 2, 2022</w:t>
      </w:r>
    </w:p>
    <w:p w14:paraId="6173090D" w14:textId="77777777" w:rsidR="000108AE" w:rsidRPr="0080684C" w:rsidRDefault="000108AE" w:rsidP="000108AE">
      <w:pPr>
        <w:snapToGrid w:val="0"/>
        <w:spacing w:line="0" w:lineRule="atLeast"/>
        <w:ind w:right="800"/>
        <w:rPr>
          <w:rFonts w:eastAsia="標楷體"/>
          <w:bCs/>
          <w:color w:val="000000"/>
          <w:sz w:val="20"/>
        </w:rPr>
      </w:pPr>
    </w:p>
    <w:p w14:paraId="3982D3FD" w14:textId="77777777" w:rsidR="00CC26CC" w:rsidRPr="0080684C" w:rsidRDefault="00CC26CC" w:rsidP="00593D47">
      <w:pPr>
        <w:pStyle w:val="a8"/>
        <w:numPr>
          <w:ilvl w:val="0"/>
          <w:numId w:val="20"/>
        </w:numPr>
        <w:adjustRightInd/>
        <w:spacing w:line="0" w:lineRule="atLeast"/>
        <w:ind w:leftChars="0"/>
        <w:jc w:val="both"/>
        <w:rPr>
          <w:rFonts w:eastAsia="標楷體"/>
          <w:color w:val="000000"/>
          <w:szCs w:val="24"/>
        </w:rPr>
      </w:pPr>
      <w:r w:rsidRPr="0080684C">
        <w:rPr>
          <w:rFonts w:eastAsia="標楷體"/>
          <w:color w:val="000000"/>
        </w:rPr>
        <w:t>本施行細則係依「工學院博士班學生英語能力測驗辦法」訂定之，其目的為提昇本系博士班學生從事學術研究所需之英語寫作及表達能力。</w:t>
      </w:r>
    </w:p>
    <w:p w14:paraId="6B0B55C4" w14:textId="3D6E77C9" w:rsidR="00FD6621" w:rsidRPr="0080684C" w:rsidRDefault="00FD6621" w:rsidP="00593D47">
      <w:pPr>
        <w:pStyle w:val="a8"/>
        <w:adjustRightInd/>
        <w:spacing w:line="0" w:lineRule="atLeast"/>
        <w:ind w:leftChars="0" w:left="482"/>
        <w:jc w:val="both"/>
        <w:rPr>
          <w:rFonts w:eastAsia="標楷體"/>
          <w:color w:val="000000"/>
          <w:szCs w:val="24"/>
        </w:rPr>
      </w:pPr>
      <w:r w:rsidRPr="0080684C">
        <w:rPr>
          <w:rFonts w:eastAsia="標楷體"/>
          <w:color w:val="000000"/>
        </w:rPr>
        <w:t>These Rules are adopted in accordance with the “Regulations for the English Proficiency Test for PhD Program Students of the College of Engineering”, in order to improve the proficiency of the PhD students of the Department in English writing and expression as required for academic research work.</w:t>
      </w:r>
    </w:p>
    <w:p w14:paraId="51F63D73" w14:textId="77777777" w:rsidR="000108AE" w:rsidRPr="0080684C" w:rsidRDefault="000108AE" w:rsidP="00593D47">
      <w:pPr>
        <w:pStyle w:val="a8"/>
        <w:adjustRightInd/>
        <w:spacing w:line="0" w:lineRule="atLeast"/>
        <w:ind w:leftChars="0" w:left="482"/>
        <w:jc w:val="both"/>
        <w:rPr>
          <w:rFonts w:eastAsia="標楷體"/>
          <w:color w:val="000000"/>
          <w:szCs w:val="24"/>
        </w:rPr>
      </w:pPr>
    </w:p>
    <w:p w14:paraId="2CE63DA2" w14:textId="77777777" w:rsidR="00CC26CC" w:rsidRPr="0080684C" w:rsidRDefault="00CC26CC" w:rsidP="00593D47">
      <w:pPr>
        <w:pStyle w:val="a8"/>
        <w:numPr>
          <w:ilvl w:val="0"/>
          <w:numId w:val="20"/>
        </w:numPr>
        <w:adjustRightInd/>
        <w:spacing w:line="0" w:lineRule="atLeast"/>
        <w:ind w:leftChars="0"/>
        <w:jc w:val="both"/>
        <w:rPr>
          <w:rFonts w:eastAsia="標楷體"/>
          <w:color w:val="000000"/>
          <w:szCs w:val="24"/>
        </w:rPr>
      </w:pPr>
      <w:r w:rsidRPr="0080684C">
        <w:rPr>
          <w:rFonts w:eastAsia="標楷體"/>
          <w:color w:val="000000"/>
        </w:rPr>
        <w:t>鑑定方式：凡本系之博士班學生應選擇下列任一方式通過英語能力鑑定，方得參加畢業口</w:t>
      </w:r>
      <w:r w:rsidRPr="00773D9E">
        <w:rPr>
          <w:rFonts w:eastAsia="標楷體"/>
          <w:color w:val="000000" w:themeColor="text1"/>
        </w:rPr>
        <w:t>試：</w:t>
      </w:r>
    </w:p>
    <w:p w14:paraId="17D74C64" w14:textId="77777777" w:rsidR="00FD6621" w:rsidRPr="0080684C" w:rsidRDefault="00FD6621" w:rsidP="00593D47">
      <w:pPr>
        <w:pStyle w:val="a8"/>
        <w:adjustRightInd/>
        <w:spacing w:line="0" w:lineRule="atLeast"/>
        <w:ind w:leftChars="0" w:left="482"/>
        <w:jc w:val="both"/>
        <w:rPr>
          <w:rFonts w:eastAsia="標楷體"/>
          <w:color w:val="000000"/>
          <w:szCs w:val="24"/>
        </w:rPr>
      </w:pPr>
      <w:r w:rsidRPr="0080684C">
        <w:rPr>
          <w:rFonts w:eastAsia="標楷體"/>
          <w:color w:val="000000"/>
        </w:rPr>
        <w:t>Evaluation Method: Any PhD student of the Department may take the oral examination for graduation only after passing the English proficiency test in any of the following manners:</w:t>
      </w:r>
    </w:p>
    <w:p w14:paraId="399A5851" w14:textId="0FCC9CA0" w:rsidR="00CC26CC" w:rsidRPr="0080684C" w:rsidRDefault="00CC26CC" w:rsidP="00593D47">
      <w:pPr>
        <w:pStyle w:val="a8"/>
        <w:numPr>
          <w:ilvl w:val="1"/>
          <w:numId w:val="20"/>
        </w:numPr>
        <w:spacing w:line="0" w:lineRule="atLeast"/>
        <w:ind w:leftChars="0" w:left="709" w:hanging="229"/>
        <w:jc w:val="both"/>
        <w:rPr>
          <w:rFonts w:eastAsia="標楷體"/>
          <w:color w:val="000000"/>
          <w:szCs w:val="24"/>
        </w:rPr>
      </w:pPr>
      <w:r w:rsidRPr="0080684C">
        <w:rPr>
          <w:rFonts w:eastAsia="標楷體"/>
          <w:color w:val="000000"/>
        </w:rPr>
        <w:t>參加並通過下列任一英語能力鑑定測驗</w:t>
      </w:r>
      <w:r w:rsidRPr="0080684C">
        <w:rPr>
          <w:rFonts w:eastAsia="標楷體"/>
          <w:color w:val="000000"/>
        </w:rPr>
        <w:t>:</w:t>
      </w:r>
    </w:p>
    <w:p w14:paraId="713AF9E8" w14:textId="77777777" w:rsidR="00FD6621" w:rsidRPr="0080684C" w:rsidRDefault="00FD6621" w:rsidP="00593D47">
      <w:pPr>
        <w:spacing w:line="0" w:lineRule="atLeast"/>
        <w:ind w:leftChars="100" w:left="240" w:firstLineChars="204" w:firstLine="490"/>
        <w:jc w:val="both"/>
        <w:rPr>
          <w:rFonts w:eastAsia="標楷體"/>
          <w:color w:val="000000"/>
          <w:szCs w:val="24"/>
        </w:rPr>
      </w:pPr>
      <w:r w:rsidRPr="0080684C">
        <w:rPr>
          <w:rFonts w:eastAsia="標楷體"/>
          <w:color w:val="000000"/>
        </w:rPr>
        <w:t>Take and pass any of the following English proficiency tests:</w:t>
      </w:r>
    </w:p>
    <w:p w14:paraId="7E923B5A" w14:textId="77777777" w:rsidR="00CC26CC" w:rsidRPr="0080684C" w:rsidRDefault="00CC26CC" w:rsidP="00593D47">
      <w:pPr>
        <w:pStyle w:val="a8"/>
        <w:numPr>
          <w:ilvl w:val="0"/>
          <w:numId w:val="21"/>
        </w:numPr>
        <w:tabs>
          <w:tab w:val="left" w:pos="993"/>
        </w:tabs>
        <w:spacing w:line="0" w:lineRule="atLeast"/>
        <w:ind w:leftChars="0" w:rightChars="-150" w:right="-360"/>
        <w:jc w:val="both"/>
        <w:rPr>
          <w:rFonts w:eastAsia="標楷體"/>
          <w:color w:val="000000"/>
          <w:szCs w:val="24"/>
        </w:rPr>
      </w:pPr>
      <w:r w:rsidRPr="0080684C">
        <w:rPr>
          <w:rFonts w:eastAsia="標楷體"/>
          <w:color w:val="000000"/>
        </w:rPr>
        <w:t>通過全民英語能力分級檢定中高級初試及複試</w:t>
      </w:r>
    </w:p>
    <w:p w14:paraId="4AFBF87C" w14:textId="7FBF8CB9" w:rsidR="00FD6621" w:rsidRPr="0080684C" w:rsidRDefault="00FD6621" w:rsidP="00593D47">
      <w:pPr>
        <w:pStyle w:val="a8"/>
        <w:tabs>
          <w:tab w:val="left" w:pos="993"/>
        </w:tabs>
        <w:spacing w:line="0" w:lineRule="atLeast"/>
        <w:ind w:leftChars="0" w:left="992" w:rightChars="-150" w:right="-360"/>
        <w:jc w:val="both"/>
        <w:rPr>
          <w:rFonts w:eastAsia="標楷體"/>
          <w:color w:val="000000"/>
          <w:szCs w:val="24"/>
        </w:rPr>
      </w:pPr>
      <w:r w:rsidRPr="0080684C">
        <w:rPr>
          <w:rFonts w:eastAsia="標楷體"/>
          <w:color w:val="000000"/>
        </w:rPr>
        <w:t>Pass the GEPT (General English Proficiency Test) High-Intermediate Level, preliminary test and re-examination</w:t>
      </w:r>
    </w:p>
    <w:p w14:paraId="3F789293" w14:textId="77777777" w:rsidR="00CC26CC" w:rsidRPr="0080684C" w:rsidRDefault="00CC26CC" w:rsidP="00593D47">
      <w:pPr>
        <w:pStyle w:val="a8"/>
        <w:numPr>
          <w:ilvl w:val="0"/>
          <w:numId w:val="21"/>
        </w:numPr>
        <w:tabs>
          <w:tab w:val="left" w:pos="993"/>
        </w:tabs>
        <w:spacing w:line="0" w:lineRule="atLeast"/>
        <w:ind w:leftChars="0" w:rightChars="-150" w:right="-360"/>
        <w:jc w:val="both"/>
        <w:rPr>
          <w:rFonts w:eastAsia="標楷體"/>
          <w:color w:val="000000"/>
          <w:szCs w:val="24"/>
        </w:rPr>
      </w:pPr>
      <w:r w:rsidRPr="0080684C">
        <w:rPr>
          <w:rFonts w:eastAsia="標楷體"/>
          <w:color w:val="000000"/>
        </w:rPr>
        <w:t>托福</w:t>
      </w:r>
      <w:r w:rsidRPr="0080684C">
        <w:rPr>
          <w:rFonts w:eastAsia="標楷體"/>
          <w:color w:val="000000"/>
        </w:rPr>
        <w:t>(TOEFL)550</w:t>
      </w:r>
      <w:r w:rsidRPr="0080684C">
        <w:rPr>
          <w:rFonts w:eastAsia="標楷體"/>
          <w:color w:val="000000"/>
        </w:rPr>
        <w:t>分</w:t>
      </w:r>
      <w:r w:rsidRPr="0080684C">
        <w:rPr>
          <w:rFonts w:eastAsia="標楷體"/>
          <w:color w:val="000000"/>
        </w:rPr>
        <w:t>(</w:t>
      </w:r>
      <w:r w:rsidRPr="0080684C">
        <w:rPr>
          <w:rFonts w:eastAsia="標楷體"/>
          <w:color w:val="000000"/>
        </w:rPr>
        <w:t>含</w:t>
      </w:r>
      <w:r w:rsidRPr="0080684C">
        <w:rPr>
          <w:rFonts w:eastAsia="標楷體"/>
          <w:color w:val="000000"/>
        </w:rPr>
        <w:t>)</w:t>
      </w:r>
      <w:r w:rsidRPr="0080684C">
        <w:rPr>
          <w:rFonts w:eastAsia="標楷體"/>
          <w:color w:val="000000"/>
        </w:rPr>
        <w:t>以上</w:t>
      </w:r>
    </w:p>
    <w:p w14:paraId="0F9BEFF7" w14:textId="7286922F" w:rsidR="00FD6621" w:rsidRPr="0080684C" w:rsidRDefault="00FD6621" w:rsidP="00593D47">
      <w:pPr>
        <w:pStyle w:val="a8"/>
        <w:tabs>
          <w:tab w:val="left" w:pos="993"/>
        </w:tabs>
        <w:spacing w:line="0" w:lineRule="atLeast"/>
        <w:ind w:leftChars="0" w:left="992" w:rightChars="-150" w:right="-360"/>
        <w:jc w:val="both"/>
        <w:rPr>
          <w:rFonts w:eastAsia="標楷體"/>
          <w:color w:val="000000"/>
          <w:szCs w:val="24"/>
        </w:rPr>
      </w:pPr>
      <w:r w:rsidRPr="0080684C">
        <w:rPr>
          <w:rFonts w:eastAsia="標楷體"/>
          <w:color w:val="000000"/>
        </w:rPr>
        <w:t>TOEFL scores of 550 or higher</w:t>
      </w:r>
    </w:p>
    <w:p w14:paraId="6C51930C" w14:textId="77777777" w:rsidR="00CC26CC" w:rsidRPr="0080684C" w:rsidRDefault="00CC26CC" w:rsidP="00593D47">
      <w:pPr>
        <w:pStyle w:val="a8"/>
        <w:numPr>
          <w:ilvl w:val="0"/>
          <w:numId w:val="21"/>
        </w:numPr>
        <w:tabs>
          <w:tab w:val="left" w:pos="993"/>
        </w:tabs>
        <w:spacing w:line="0" w:lineRule="atLeast"/>
        <w:ind w:leftChars="0" w:rightChars="-150" w:right="-360"/>
        <w:jc w:val="both"/>
        <w:rPr>
          <w:rFonts w:eastAsia="標楷體"/>
          <w:color w:val="000000"/>
          <w:szCs w:val="24"/>
        </w:rPr>
      </w:pPr>
      <w:r w:rsidRPr="0080684C">
        <w:rPr>
          <w:rFonts w:eastAsia="標楷體"/>
          <w:color w:val="000000"/>
        </w:rPr>
        <w:t>電腦托福</w:t>
      </w:r>
      <w:r w:rsidRPr="0080684C">
        <w:rPr>
          <w:rFonts w:eastAsia="標楷體"/>
          <w:color w:val="000000"/>
        </w:rPr>
        <w:t>213</w:t>
      </w:r>
      <w:r w:rsidRPr="0080684C">
        <w:rPr>
          <w:rFonts w:eastAsia="標楷體"/>
          <w:color w:val="000000"/>
        </w:rPr>
        <w:t>分</w:t>
      </w:r>
      <w:r w:rsidRPr="0080684C">
        <w:rPr>
          <w:rFonts w:eastAsia="標楷體"/>
          <w:color w:val="000000"/>
        </w:rPr>
        <w:t>(</w:t>
      </w:r>
      <w:r w:rsidRPr="0080684C">
        <w:rPr>
          <w:rFonts w:eastAsia="標楷體"/>
          <w:color w:val="000000"/>
        </w:rPr>
        <w:t>含</w:t>
      </w:r>
      <w:r w:rsidRPr="0080684C">
        <w:rPr>
          <w:rFonts w:eastAsia="標楷體"/>
          <w:color w:val="000000"/>
        </w:rPr>
        <w:t>)</w:t>
      </w:r>
      <w:r w:rsidRPr="0080684C">
        <w:rPr>
          <w:rFonts w:eastAsia="標楷體"/>
          <w:color w:val="000000"/>
        </w:rPr>
        <w:t>以上</w:t>
      </w:r>
    </w:p>
    <w:p w14:paraId="108315AB" w14:textId="2FA31461" w:rsidR="00FD6621" w:rsidRPr="0080684C" w:rsidRDefault="00FD6621" w:rsidP="00593D47">
      <w:pPr>
        <w:pStyle w:val="a8"/>
        <w:tabs>
          <w:tab w:val="left" w:pos="993"/>
        </w:tabs>
        <w:spacing w:line="0" w:lineRule="atLeast"/>
        <w:ind w:leftChars="0" w:left="992" w:rightChars="-150" w:right="-360"/>
        <w:jc w:val="both"/>
        <w:rPr>
          <w:rFonts w:eastAsia="標楷體"/>
          <w:color w:val="000000"/>
          <w:szCs w:val="24"/>
        </w:rPr>
      </w:pPr>
      <w:r w:rsidRPr="0080684C">
        <w:rPr>
          <w:rFonts w:eastAsia="標楷體"/>
          <w:color w:val="000000"/>
        </w:rPr>
        <w:t>PC version of TOEFL score of 213 or higher</w:t>
      </w:r>
    </w:p>
    <w:p w14:paraId="0FE30097" w14:textId="77777777" w:rsidR="005B2F0E" w:rsidRPr="0080684C" w:rsidRDefault="005B2F0E" w:rsidP="00593D47">
      <w:pPr>
        <w:pStyle w:val="a8"/>
        <w:numPr>
          <w:ilvl w:val="0"/>
          <w:numId w:val="21"/>
        </w:numPr>
        <w:tabs>
          <w:tab w:val="left" w:pos="993"/>
        </w:tabs>
        <w:spacing w:line="0" w:lineRule="atLeast"/>
        <w:ind w:leftChars="0" w:rightChars="-150" w:right="-360"/>
        <w:jc w:val="both"/>
        <w:rPr>
          <w:rFonts w:eastAsia="標楷體"/>
          <w:color w:val="000000"/>
          <w:szCs w:val="24"/>
        </w:rPr>
      </w:pPr>
      <w:r w:rsidRPr="0080684C">
        <w:rPr>
          <w:rFonts w:eastAsia="標楷體"/>
          <w:color w:val="000000"/>
        </w:rPr>
        <w:t>網路托福</w:t>
      </w:r>
      <w:r w:rsidRPr="0080684C">
        <w:rPr>
          <w:rFonts w:eastAsia="標楷體"/>
          <w:color w:val="000000"/>
        </w:rPr>
        <w:t>79</w:t>
      </w:r>
      <w:r w:rsidRPr="0080684C">
        <w:rPr>
          <w:rFonts w:eastAsia="標楷體"/>
          <w:color w:val="000000"/>
        </w:rPr>
        <w:t>分</w:t>
      </w:r>
      <w:r w:rsidRPr="0080684C">
        <w:rPr>
          <w:rFonts w:eastAsia="標楷體"/>
          <w:color w:val="000000"/>
        </w:rPr>
        <w:t>(</w:t>
      </w:r>
      <w:r w:rsidRPr="0080684C">
        <w:rPr>
          <w:rFonts w:eastAsia="標楷體"/>
          <w:color w:val="000000"/>
        </w:rPr>
        <w:t>含</w:t>
      </w:r>
      <w:r w:rsidRPr="0080684C">
        <w:rPr>
          <w:rFonts w:eastAsia="標楷體"/>
          <w:color w:val="000000"/>
        </w:rPr>
        <w:t>)</w:t>
      </w:r>
      <w:r w:rsidRPr="0080684C">
        <w:rPr>
          <w:rFonts w:eastAsia="標楷體"/>
          <w:color w:val="000000"/>
        </w:rPr>
        <w:t>以上</w:t>
      </w:r>
    </w:p>
    <w:p w14:paraId="129A4E91" w14:textId="77777777" w:rsidR="00FD6621" w:rsidRPr="0080684C" w:rsidRDefault="00FD6621" w:rsidP="00593D47">
      <w:pPr>
        <w:pStyle w:val="a8"/>
        <w:tabs>
          <w:tab w:val="left" w:pos="993"/>
        </w:tabs>
        <w:spacing w:line="0" w:lineRule="atLeast"/>
        <w:ind w:leftChars="0" w:left="992" w:rightChars="-150" w:right="-360"/>
        <w:jc w:val="both"/>
        <w:rPr>
          <w:rFonts w:eastAsia="標楷體"/>
          <w:color w:val="000000"/>
          <w:szCs w:val="24"/>
        </w:rPr>
      </w:pPr>
      <w:r w:rsidRPr="0080684C">
        <w:rPr>
          <w:rFonts w:eastAsia="標楷體"/>
          <w:color w:val="000000"/>
        </w:rPr>
        <w:t>Online version of TOEFL score of 79 or higher</w:t>
      </w:r>
    </w:p>
    <w:p w14:paraId="44C4BC82" w14:textId="77777777" w:rsidR="00CC26CC" w:rsidRPr="0080684C" w:rsidRDefault="00CC26CC" w:rsidP="00593D47">
      <w:pPr>
        <w:pStyle w:val="a8"/>
        <w:numPr>
          <w:ilvl w:val="0"/>
          <w:numId w:val="21"/>
        </w:numPr>
        <w:tabs>
          <w:tab w:val="left" w:pos="993"/>
        </w:tabs>
        <w:spacing w:line="0" w:lineRule="atLeast"/>
        <w:ind w:leftChars="0" w:rightChars="-150" w:right="-360"/>
        <w:jc w:val="both"/>
        <w:rPr>
          <w:rFonts w:eastAsia="標楷體"/>
          <w:color w:val="000000"/>
          <w:szCs w:val="24"/>
        </w:rPr>
      </w:pPr>
      <w:r w:rsidRPr="0080684C">
        <w:rPr>
          <w:rFonts w:eastAsia="標楷體"/>
          <w:color w:val="000000"/>
        </w:rPr>
        <w:t>國際英語測試</w:t>
      </w:r>
      <w:r w:rsidRPr="0080684C">
        <w:rPr>
          <w:rFonts w:eastAsia="標楷體"/>
          <w:color w:val="000000"/>
        </w:rPr>
        <w:t>(IELTS) 6</w:t>
      </w:r>
      <w:r w:rsidRPr="0080684C">
        <w:rPr>
          <w:rFonts w:eastAsia="標楷體"/>
          <w:color w:val="000000"/>
        </w:rPr>
        <w:t>級</w:t>
      </w:r>
      <w:r w:rsidRPr="0080684C">
        <w:rPr>
          <w:rFonts w:eastAsia="標楷體"/>
          <w:color w:val="000000"/>
        </w:rPr>
        <w:t>(</w:t>
      </w:r>
      <w:r w:rsidRPr="0080684C">
        <w:rPr>
          <w:rFonts w:eastAsia="標楷體"/>
          <w:color w:val="000000"/>
        </w:rPr>
        <w:t>含</w:t>
      </w:r>
      <w:r w:rsidRPr="0080684C">
        <w:rPr>
          <w:rFonts w:eastAsia="標楷體"/>
          <w:color w:val="000000"/>
        </w:rPr>
        <w:t>)</w:t>
      </w:r>
      <w:r w:rsidRPr="0080684C">
        <w:rPr>
          <w:rFonts w:eastAsia="標楷體"/>
          <w:color w:val="000000"/>
        </w:rPr>
        <w:t>以上</w:t>
      </w:r>
    </w:p>
    <w:p w14:paraId="4A80AB08" w14:textId="1E519818" w:rsidR="00FD6621" w:rsidRPr="0080684C" w:rsidRDefault="00FD6621" w:rsidP="00593D47">
      <w:pPr>
        <w:pStyle w:val="a8"/>
        <w:tabs>
          <w:tab w:val="left" w:pos="993"/>
        </w:tabs>
        <w:spacing w:line="0" w:lineRule="atLeast"/>
        <w:ind w:leftChars="0" w:left="992" w:rightChars="-150" w:right="-360"/>
        <w:jc w:val="both"/>
        <w:rPr>
          <w:rFonts w:eastAsia="標楷體"/>
          <w:color w:val="000000"/>
          <w:szCs w:val="24"/>
        </w:rPr>
      </w:pPr>
      <w:r w:rsidRPr="0080684C">
        <w:rPr>
          <w:rFonts w:eastAsia="標楷體"/>
          <w:color w:val="000000"/>
        </w:rPr>
        <w:t>IELTS score of grade 6 or higher</w:t>
      </w:r>
    </w:p>
    <w:p w14:paraId="452E29A6" w14:textId="77777777" w:rsidR="00CC26CC" w:rsidRPr="0080684C" w:rsidRDefault="005B2F0E" w:rsidP="00593D47">
      <w:pPr>
        <w:pStyle w:val="a8"/>
        <w:numPr>
          <w:ilvl w:val="0"/>
          <w:numId w:val="21"/>
        </w:numPr>
        <w:tabs>
          <w:tab w:val="left" w:pos="993"/>
        </w:tabs>
        <w:spacing w:line="0" w:lineRule="atLeast"/>
        <w:ind w:leftChars="0" w:rightChars="-150" w:right="-360"/>
        <w:jc w:val="both"/>
        <w:rPr>
          <w:rFonts w:eastAsia="標楷體"/>
          <w:color w:val="000000"/>
          <w:szCs w:val="24"/>
        </w:rPr>
      </w:pPr>
      <w:r w:rsidRPr="0080684C">
        <w:rPr>
          <w:rFonts w:eastAsia="標楷體"/>
          <w:color w:val="000000"/>
        </w:rPr>
        <w:t>多益測驗</w:t>
      </w:r>
      <w:r w:rsidRPr="0080684C">
        <w:rPr>
          <w:rFonts w:eastAsia="標楷體"/>
          <w:color w:val="000000"/>
        </w:rPr>
        <w:t>(TOEIC)730</w:t>
      </w:r>
      <w:r w:rsidRPr="0080684C">
        <w:rPr>
          <w:rFonts w:eastAsia="標楷體"/>
          <w:color w:val="000000"/>
        </w:rPr>
        <w:t>分</w:t>
      </w:r>
      <w:r w:rsidRPr="0080684C">
        <w:rPr>
          <w:rFonts w:eastAsia="標楷體"/>
          <w:color w:val="000000"/>
        </w:rPr>
        <w:t>(</w:t>
      </w:r>
      <w:r w:rsidRPr="0080684C">
        <w:rPr>
          <w:rFonts w:eastAsia="標楷體"/>
          <w:color w:val="000000"/>
        </w:rPr>
        <w:t>含</w:t>
      </w:r>
      <w:r w:rsidRPr="0080684C">
        <w:rPr>
          <w:rFonts w:eastAsia="標楷體"/>
          <w:color w:val="000000"/>
        </w:rPr>
        <w:t>)</w:t>
      </w:r>
      <w:r w:rsidRPr="0080684C">
        <w:rPr>
          <w:rFonts w:eastAsia="標楷體"/>
          <w:color w:val="000000"/>
        </w:rPr>
        <w:t>以上</w:t>
      </w:r>
    </w:p>
    <w:p w14:paraId="170093AF" w14:textId="3B4495CE" w:rsidR="00FD6621" w:rsidRPr="0080684C" w:rsidRDefault="00FD6621" w:rsidP="00593D47">
      <w:pPr>
        <w:pStyle w:val="a8"/>
        <w:tabs>
          <w:tab w:val="left" w:pos="993"/>
        </w:tabs>
        <w:spacing w:line="0" w:lineRule="atLeast"/>
        <w:ind w:leftChars="0" w:left="992" w:rightChars="-150" w:right="-360"/>
        <w:jc w:val="both"/>
        <w:rPr>
          <w:rFonts w:eastAsia="標楷體"/>
          <w:color w:val="000000"/>
          <w:szCs w:val="24"/>
        </w:rPr>
      </w:pPr>
      <w:r w:rsidRPr="0080684C">
        <w:rPr>
          <w:rFonts w:eastAsia="標楷體"/>
          <w:color w:val="000000"/>
        </w:rPr>
        <w:t>TOEIC score of 730 or higher</w:t>
      </w:r>
    </w:p>
    <w:p w14:paraId="0C2E53E7" w14:textId="4AC0A9C1" w:rsidR="00CC26CC" w:rsidRPr="0080684C" w:rsidRDefault="007F08F6" w:rsidP="00593D47">
      <w:pPr>
        <w:pStyle w:val="a8"/>
        <w:numPr>
          <w:ilvl w:val="1"/>
          <w:numId w:val="20"/>
        </w:numPr>
        <w:spacing w:line="0" w:lineRule="atLeast"/>
        <w:ind w:leftChars="0" w:left="709" w:hanging="229"/>
        <w:jc w:val="both"/>
        <w:rPr>
          <w:rFonts w:eastAsia="標楷體"/>
          <w:szCs w:val="24"/>
        </w:rPr>
      </w:pPr>
      <w:r w:rsidRPr="0080684C">
        <w:rPr>
          <w:rFonts w:eastAsia="標楷體"/>
        </w:rPr>
        <w:t>選修通過本校語言中心或工學院開設之研究所英語訓練課程至少</w:t>
      </w:r>
      <w:r w:rsidRPr="0080684C">
        <w:rPr>
          <w:rFonts w:eastAsia="標楷體"/>
        </w:rPr>
        <w:t>4</w:t>
      </w:r>
      <w:r w:rsidRPr="0080684C">
        <w:rPr>
          <w:rFonts w:eastAsia="標楷體"/>
        </w:rPr>
        <w:t>學分。惟本校語言中心開設之「推廣教育科技英文學分班」及其他院系所開設之課程不計入認列。上述英文課程不計入畢業學分。</w:t>
      </w:r>
    </w:p>
    <w:p w14:paraId="685588A7" w14:textId="77777777" w:rsidR="00FD6621" w:rsidRPr="0080684C" w:rsidRDefault="00FD6621" w:rsidP="00593D47">
      <w:pPr>
        <w:spacing w:line="0" w:lineRule="atLeast"/>
        <w:ind w:left="709" w:rightChars="-150" w:right="-360"/>
        <w:jc w:val="both"/>
        <w:rPr>
          <w:rFonts w:eastAsia="標楷體"/>
          <w:szCs w:val="24"/>
        </w:rPr>
      </w:pPr>
      <w:r w:rsidRPr="0080684C">
        <w:rPr>
          <w:rFonts w:eastAsia="標楷體"/>
        </w:rPr>
        <w:t>Take at least 4 credits of English training courses offered by the Language Center of NYCU or College of Engineering. The “Promotion of Educational Technology English Credit Class” offered by the Language Center of NYCU and the programs offered by the other colleges/departments do not count. Said English courses are excluded from graduation credits.</w:t>
      </w:r>
    </w:p>
    <w:p w14:paraId="3468504D" w14:textId="77777777" w:rsidR="00CC26CC" w:rsidRPr="0080684C" w:rsidRDefault="000E71E7" w:rsidP="00593D47">
      <w:pPr>
        <w:spacing w:line="0" w:lineRule="atLeast"/>
        <w:ind w:left="672" w:rightChars="-150" w:right="-360" w:hanging="192"/>
        <w:jc w:val="both"/>
        <w:rPr>
          <w:rFonts w:eastAsia="標楷體"/>
          <w:color w:val="000000"/>
          <w:szCs w:val="24"/>
        </w:rPr>
      </w:pPr>
      <w:r w:rsidRPr="0080684C">
        <w:rPr>
          <w:rFonts w:eastAsia="標楷體"/>
          <w:color w:val="000000"/>
        </w:rPr>
        <w:t>3.</w:t>
      </w:r>
      <w:r w:rsidRPr="0080684C">
        <w:rPr>
          <w:rFonts w:eastAsia="標楷體"/>
          <w:color w:val="000000"/>
        </w:rPr>
        <w:tab/>
      </w:r>
      <w:r w:rsidRPr="0080684C">
        <w:rPr>
          <w:rFonts w:eastAsia="標楷體"/>
          <w:color w:val="000000"/>
        </w:rPr>
        <w:t>在國外以英語教學之學校得到學士</w:t>
      </w:r>
      <w:r w:rsidRPr="0080684C">
        <w:rPr>
          <w:rFonts w:eastAsia="標楷體"/>
          <w:color w:val="000000"/>
        </w:rPr>
        <w:t>(</w:t>
      </w:r>
      <w:r w:rsidRPr="0080684C">
        <w:rPr>
          <w:rFonts w:eastAsia="標楷體"/>
          <w:color w:val="000000"/>
        </w:rPr>
        <w:t>含</w:t>
      </w:r>
      <w:r w:rsidRPr="0080684C">
        <w:rPr>
          <w:rFonts w:eastAsia="標楷體"/>
          <w:color w:val="000000"/>
        </w:rPr>
        <w:t>)</w:t>
      </w:r>
      <w:r w:rsidRPr="0080684C">
        <w:rPr>
          <w:rFonts w:eastAsia="標楷體"/>
          <w:color w:val="000000"/>
        </w:rPr>
        <w:t>以上學位者，可申請抵免。</w:t>
      </w:r>
    </w:p>
    <w:p w14:paraId="20DD6773" w14:textId="77777777" w:rsidR="00FD6621" w:rsidRPr="0080684C" w:rsidRDefault="00FD6621" w:rsidP="00773D9E">
      <w:pPr>
        <w:spacing w:line="0" w:lineRule="atLeast"/>
        <w:ind w:left="709" w:rightChars="-150" w:right="-360"/>
        <w:jc w:val="both"/>
        <w:rPr>
          <w:rFonts w:eastAsia="標楷體"/>
          <w:color w:val="000000"/>
          <w:szCs w:val="24"/>
        </w:rPr>
      </w:pPr>
      <w:r w:rsidRPr="0080684C">
        <w:rPr>
          <w:rFonts w:eastAsia="標楷體"/>
          <w:color w:val="000000"/>
        </w:rPr>
        <w:t>Students who completed their bachelor’s degree or higher at any school taught in English abroad may apply for a credit waiver.</w:t>
      </w:r>
      <w:bookmarkStart w:id="0" w:name="_GoBack"/>
      <w:bookmarkEnd w:id="0"/>
    </w:p>
    <w:p w14:paraId="68D67992" w14:textId="77777777" w:rsidR="000E71E7" w:rsidRPr="0080684C" w:rsidRDefault="000E71E7" w:rsidP="00593D47">
      <w:pPr>
        <w:spacing w:line="0" w:lineRule="atLeast"/>
        <w:ind w:rightChars="-150" w:right="-360"/>
        <w:jc w:val="both"/>
        <w:rPr>
          <w:rFonts w:eastAsia="標楷體"/>
          <w:color w:val="000000"/>
          <w:szCs w:val="24"/>
        </w:rPr>
      </w:pPr>
    </w:p>
    <w:p w14:paraId="0702CB3B" w14:textId="77777777" w:rsidR="00CC26CC" w:rsidRPr="0080684C" w:rsidRDefault="00CC26CC" w:rsidP="00593D47">
      <w:pPr>
        <w:pStyle w:val="a8"/>
        <w:numPr>
          <w:ilvl w:val="0"/>
          <w:numId w:val="20"/>
        </w:numPr>
        <w:spacing w:line="0" w:lineRule="atLeast"/>
        <w:ind w:leftChars="0" w:rightChars="-150" w:right="-360"/>
        <w:jc w:val="both"/>
        <w:rPr>
          <w:rFonts w:eastAsia="標楷體"/>
          <w:color w:val="000000"/>
          <w:szCs w:val="24"/>
        </w:rPr>
      </w:pPr>
      <w:r w:rsidRPr="0080684C">
        <w:rPr>
          <w:rFonts w:eastAsia="標楷體"/>
          <w:color w:val="000000"/>
        </w:rPr>
        <w:t>本施行細則經「土木工程學系系務委員會」訂定，經系務會議通過，</w:t>
      </w:r>
      <w:r w:rsidRPr="0080684C">
        <w:rPr>
          <w:rFonts w:eastAsia="標楷體"/>
        </w:rPr>
        <w:t>並經院課程委員會核備</w:t>
      </w:r>
      <w:r w:rsidRPr="0080684C">
        <w:rPr>
          <w:rFonts w:eastAsia="標楷體"/>
          <w:color w:val="000000"/>
        </w:rPr>
        <w:t>後實施，修訂時亦同。</w:t>
      </w:r>
    </w:p>
    <w:p w14:paraId="113B4D36" w14:textId="77777777" w:rsidR="00FD6621" w:rsidRPr="0080684C" w:rsidRDefault="00FD6621" w:rsidP="00593D47">
      <w:pPr>
        <w:pStyle w:val="a8"/>
        <w:spacing w:line="0" w:lineRule="atLeast"/>
        <w:ind w:leftChars="0" w:rightChars="-150" w:right="-360"/>
        <w:jc w:val="both"/>
        <w:rPr>
          <w:rFonts w:eastAsia="標楷體"/>
          <w:color w:val="000000"/>
          <w:szCs w:val="24"/>
        </w:rPr>
      </w:pPr>
      <w:r w:rsidRPr="0080684C">
        <w:rPr>
          <w:rFonts w:eastAsia="標楷體"/>
          <w:color w:val="000000"/>
        </w:rPr>
        <w:t>These Rules are adopted by the “Department Affairs Committee of the Department of Civil Engineering”, subject to the resolution of the Department Affairs Committee Meeting</w:t>
      </w:r>
      <w:r w:rsidRPr="0080684C">
        <w:rPr>
          <w:rFonts w:eastAsia="標楷體"/>
        </w:rPr>
        <w:t xml:space="preserve"> and reference filing at the College Curriculum Committee. </w:t>
      </w:r>
      <w:r w:rsidRPr="0080684C">
        <w:rPr>
          <w:rFonts w:eastAsia="標楷體"/>
          <w:color w:val="000000"/>
        </w:rPr>
        <w:t>The same shall apply where the Rules are amended.</w:t>
      </w:r>
    </w:p>
    <w:sectPr w:rsidR="00FD6621" w:rsidRPr="0080684C" w:rsidSect="0080684C">
      <w:pgSz w:w="11906" w:h="16838"/>
      <w:pgMar w:top="1134" w:right="1134" w:bottom="1134"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D2D2" w14:textId="77777777" w:rsidR="004A0EFF" w:rsidRDefault="004A0EFF">
      <w:r>
        <w:separator/>
      </w:r>
    </w:p>
  </w:endnote>
  <w:endnote w:type="continuationSeparator" w:id="0">
    <w:p w14:paraId="19F9BE98" w14:textId="77777777" w:rsidR="004A0EFF" w:rsidRDefault="004A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中楷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1B492" w14:textId="77777777" w:rsidR="004A0EFF" w:rsidRDefault="004A0EFF">
      <w:r>
        <w:separator/>
      </w:r>
    </w:p>
  </w:footnote>
  <w:footnote w:type="continuationSeparator" w:id="0">
    <w:p w14:paraId="1D87C97B" w14:textId="77777777" w:rsidR="004A0EFF" w:rsidRDefault="004A0E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41AA9"/>
    <w:multiLevelType w:val="hybridMultilevel"/>
    <w:tmpl w:val="7F1CCD6A"/>
    <w:lvl w:ilvl="0" w:tplc="3654B320">
      <w:start w:val="1"/>
      <w:numFmt w:val="decimal"/>
      <w:lvlText w:val="(%1)"/>
      <w:lvlJc w:val="left"/>
      <w:pPr>
        <w:ind w:left="1060" w:hanging="36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0B2A7387"/>
    <w:multiLevelType w:val="singleLevel"/>
    <w:tmpl w:val="8C96BD66"/>
    <w:lvl w:ilvl="0">
      <w:start w:val="3"/>
      <w:numFmt w:val="taiwaneseCountingThousand"/>
      <w:lvlText w:val="%1、"/>
      <w:legacy w:legacy="1" w:legacySpace="0" w:legacyIndent="636"/>
      <w:lvlJc w:val="left"/>
      <w:pPr>
        <w:ind w:left="636" w:hanging="636"/>
      </w:pPr>
      <w:rPr>
        <w:rFonts w:ascii="華康中楷體" w:eastAsia="華康中楷體" w:hint="eastAsia"/>
        <w:b w:val="0"/>
        <w:i w:val="0"/>
        <w:sz w:val="32"/>
        <w:u w:val="none"/>
      </w:rPr>
    </w:lvl>
  </w:abstractNum>
  <w:abstractNum w:abstractNumId="3" w15:restartNumberingAfterBreak="0">
    <w:nsid w:val="0B7819A0"/>
    <w:multiLevelType w:val="hybridMultilevel"/>
    <w:tmpl w:val="F11A3594"/>
    <w:lvl w:ilvl="0" w:tplc="7E90DA80">
      <w:start w:val="4"/>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5EA550E"/>
    <w:multiLevelType w:val="singleLevel"/>
    <w:tmpl w:val="926A7B6C"/>
    <w:lvl w:ilvl="0">
      <w:start w:val="1"/>
      <w:numFmt w:val="taiwaneseCountingThousand"/>
      <w:lvlText w:val="%1、"/>
      <w:legacy w:legacy="1" w:legacySpace="0" w:legacyIndent="612"/>
      <w:lvlJc w:val="left"/>
      <w:pPr>
        <w:ind w:left="612" w:hanging="612"/>
      </w:pPr>
      <w:rPr>
        <w:rFonts w:ascii="華康中楷體" w:eastAsia="華康中楷體" w:hint="eastAsia"/>
        <w:b w:val="0"/>
        <w:i w:val="0"/>
        <w:sz w:val="32"/>
        <w:u w:val="none"/>
      </w:rPr>
    </w:lvl>
  </w:abstractNum>
  <w:abstractNum w:abstractNumId="5" w15:restartNumberingAfterBreak="0">
    <w:nsid w:val="15FE69B5"/>
    <w:multiLevelType w:val="hybridMultilevel"/>
    <w:tmpl w:val="84B24086"/>
    <w:lvl w:ilvl="0" w:tplc="A9D4A78C">
      <w:start w:val="1"/>
      <w:numFmt w:val="decimal"/>
      <w:suff w:val="space"/>
      <w:lvlText w:val="%1."/>
      <w:lvlJc w:val="left"/>
      <w:pPr>
        <w:ind w:left="842" w:hanging="204"/>
      </w:pPr>
      <w:rPr>
        <w:rFonts w:hint="eastAsia"/>
      </w:rPr>
    </w:lvl>
    <w:lvl w:ilvl="1" w:tplc="EA520EBC">
      <w:start w:val="1"/>
      <w:numFmt w:val="decimal"/>
      <w:lvlText w:val="(%2)"/>
      <w:lvlJc w:val="left"/>
      <w:pPr>
        <w:tabs>
          <w:tab w:val="num" w:pos="1478"/>
        </w:tabs>
        <w:ind w:left="1478" w:hanging="360"/>
      </w:pPr>
      <w:rPr>
        <w:rFonts w:hint="default"/>
      </w:rPr>
    </w:lvl>
    <w:lvl w:ilvl="2" w:tplc="A75AD46E">
      <w:start w:val="3"/>
      <w:numFmt w:val="taiwaneseCountingThousand"/>
      <w:lvlText w:val="%3、"/>
      <w:lvlJc w:val="left"/>
      <w:pPr>
        <w:tabs>
          <w:tab w:val="num" w:pos="720"/>
        </w:tabs>
        <w:ind w:left="720" w:hanging="720"/>
      </w:pPr>
      <w:rPr>
        <w:rFonts w:hint="default"/>
      </w:r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6" w15:restartNumberingAfterBreak="0">
    <w:nsid w:val="19C3790F"/>
    <w:multiLevelType w:val="hybridMultilevel"/>
    <w:tmpl w:val="D160C7C6"/>
    <w:lvl w:ilvl="0" w:tplc="7AF0D7B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AE1B9E"/>
    <w:multiLevelType w:val="hybridMultilevel"/>
    <w:tmpl w:val="AE04803C"/>
    <w:lvl w:ilvl="0" w:tplc="0B02B858">
      <w:start w:val="1"/>
      <w:numFmt w:val="bullet"/>
      <w:lvlText w:val="□"/>
      <w:lvlJc w:val="left"/>
      <w:pPr>
        <w:tabs>
          <w:tab w:val="num" w:pos="128"/>
        </w:tabs>
        <w:ind w:left="128" w:firstLine="0"/>
      </w:pPr>
      <w:rPr>
        <w:rFonts w:ascii="標楷體" w:eastAsia="標楷體" w:hAnsi="Times New Roman" w:cs="Times New Roman" w:hint="eastAsia"/>
      </w:rPr>
    </w:lvl>
    <w:lvl w:ilvl="1" w:tplc="04090003" w:tentative="1">
      <w:start w:val="1"/>
      <w:numFmt w:val="bullet"/>
      <w:lvlText w:val=""/>
      <w:lvlJc w:val="left"/>
      <w:pPr>
        <w:tabs>
          <w:tab w:val="num" w:pos="1088"/>
        </w:tabs>
        <w:ind w:left="1088" w:hanging="480"/>
      </w:pPr>
      <w:rPr>
        <w:rFonts w:ascii="Wingdings" w:hAnsi="Wingdings" w:hint="default"/>
      </w:rPr>
    </w:lvl>
    <w:lvl w:ilvl="2" w:tplc="04090005" w:tentative="1">
      <w:start w:val="1"/>
      <w:numFmt w:val="bullet"/>
      <w:lvlText w:val=""/>
      <w:lvlJc w:val="left"/>
      <w:pPr>
        <w:tabs>
          <w:tab w:val="num" w:pos="1568"/>
        </w:tabs>
        <w:ind w:left="1568" w:hanging="480"/>
      </w:pPr>
      <w:rPr>
        <w:rFonts w:ascii="Wingdings" w:hAnsi="Wingdings" w:hint="default"/>
      </w:rPr>
    </w:lvl>
    <w:lvl w:ilvl="3" w:tplc="04090001" w:tentative="1">
      <w:start w:val="1"/>
      <w:numFmt w:val="bullet"/>
      <w:lvlText w:val=""/>
      <w:lvlJc w:val="left"/>
      <w:pPr>
        <w:tabs>
          <w:tab w:val="num" w:pos="2048"/>
        </w:tabs>
        <w:ind w:left="2048" w:hanging="480"/>
      </w:pPr>
      <w:rPr>
        <w:rFonts w:ascii="Wingdings" w:hAnsi="Wingdings" w:hint="default"/>
      </w:rPr>
    </w:lvl>
    <w:lvl w:ilvl="4" w:tplc="04090003" w:tentative="1">
      <w:start w:val="1"/>
      <w:numFmt w:val="bullet"/>
      <w:lvlText w:val=""/>
      <w:lvlJc w:val="left"/>
      <w:pPr>
        <w:tabs>
          <w:tab w:val="num" w:pos="2528"/>
        </w:tabs>
        <w:ind w:left="2528" w:hanging="480"/>
      </w:pPr>
      <w:rPr>
        <w:rFonts w:ascii="Wingdings" w:hAnsi="Wingdings" w:hint="default"/>
      </w:rPr>
    </w:lvl>
    <w:lvl w:ilvl="5" w:tplc="04090005" w:tentative="1">
      <w:start w:val="1"/>
      <w:numFmt w:val="bullet"/>
      <w:lvlText w:val=""/>
      <w:lvlJc w:val="left"/>
      <w:pPr>
        <w:tabs>
          <w:tab w:val="num" w:pos="3008"/>
        </w:tabs>
        <w:ind w:left="3008" w:hanging="480"/>
      </w:pPr>
      <w:rPr>
        <w:rFonts w:ascii="Wingdings" w:hAnsi="Wingdings" w:hint="default"/>
      </w:rPr>
    </w:lvl>
    <w:lvl w:ilvl="6" w:tplc="04090001" w:tentative="1">
      <w:start w:val="1"/>
      <w:numFmt w:val="bullet"/>
      <w:lvlText w:val=""/>
      <w:lvlJc w:val="left"/>
      <w:pPr>
        <w:tabs>
          <w:tab w:val="num" w:pos="3488"/>
        </w:tabs>
        <w:ind w:left="3488" w:hanging="480"/>
      </w:pPr>
      <w:rPr>
        <w:rFonts w:ascii="Wingdings" w:hAnsi="Wingdings" w:hint="default"/>
      </w:rPr>
    </w:lvl>
    <w:lvl w:ilvl="7" w:tplc="04090003" w:tentative="1">
      <w:start w:val="1"/>
      <w:numFmt w:val="bullet"/>
      <w:lvlText w:val=""/>
      <w:lvlJc w:val="left"/>
      <w:pPr>
        <w:tabs>
          <w:tab w:val="num" w:pos="3968"/>
        </w:tabs>
        <w:ind w:left="3968" w:hanging="480"/>
      </w:pPr>
      <w:rPr>
        <w:rFonts w:ascii="Wingdings" w:hAnsi="Wingdings" w:hint="default"/>
      </w:rPr>
    </w:lvl>
    <w:lvl w:ilvl="8" w:tplc="04090005" w:tentative="1">
      <w:start w:val="1"/>
      <w:numFmt w:val="bullet"/>
      <w:lvlText w:val=""/>
      <w:lvlJc w:val="left"/>
      <w:pPr>
        <w:tabs>
          <w:tab w:val="num" w:pos="4448"/>
        </w:tabs>
        <w:ind w:left="4448" w:hanging="480"/>
      </w:pPr>
      <w:rPr>
        <w:rFonts w:ascii="Wingdings" w:hAnsi="Wingdings" w:hint="default"/>
      </w:rPr>
    </w:lvl>
  </w:abstractNum>
  <w:abstractNum w:abstractNumId="8" w15:restartNumberingAfterBreak="0">
    <w:nsid w:val="25E043D7"/>
    <w:multiLevelType w:val="singleLevel"/>
    <w:tmpl w:val="8FBE08C4"/>
    <w:lvl w:ilvl="0">
      <w:start w:val="2"/>
      <w:numFmt w:val="taiwaneseCountingThousand"/>
      <w:lvlText w:val="%1、"/>
      <w:legacy w:legacy="1" w:legacySpace="0" w:legacyIndent="612"/>
      <w:lvlJc w:val="left"/>
      <w:pPr>
        <w:ind w:left="612" w:hanging="612"/>
      </w:pPr>
      <w:rPr>
        <w:rFonts w:ascii="華康中楷體" w:eastAsia="華康中楷體" w:hint="eastAsia"/>
        <w:b w:val="0"/>
        <w:i w:val="0"/>
        <w:sz w:val="32"/>
        <w:u w:val="none"/>
      </w:rPr>
    </w:lvl>
  </w:abstractNum>
  <w:abstractNum w:abstractNumId="9" w15:restartNumberingAfterBreak="0">
    <w:nsid w:val="2C154A79"/>
    <w:multiLevelType w:val="hybridMultilevel"/>
    <w:tmpl w:val="6F428EDC"/>
    <w:lvl w:ilvl="0" w:tplc="04090015">
      <w:start w:val="1"/>
      <w:numFmt w:val="taiwaneseCountingThousand"/>
      <w:lvlText w:val="%1、"/>
      <w:lvlJc w:val="left"/>
      <w:pPr>
        <w:ind w:left="480" w:hanging="480"/>
      </w:pPr>
      <w:rPr>
        <w:rFonts w:hint="default"/>
      </w:rPr>
    </w:lvl>
    <w:lvl w:ilvl="1" w:tplc="331C0EB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0E35AD"/>
    <w:multiLevelType w:val="hybridMultilevel"/>
    <w:tmpl w:val="D1FC61A4"/>
    <w:lvl w:ilvl="0" w:tplc="30382682">
      <w:start w:val="1"/>
      <w:numFmt w:val="decimal"/>
      <w:suff w:val="space"/>
      <w:lvlText w:val="%1."/>
      <w:lvlJc w:val="left"/>
      <w:pPr>
        <w:ind w:left="921" w:hanging="285"/>
      </w:pPr>
      <w:rPr>
        <w:rFonts w:hint="default"/>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11" w15:restartNumberingAfterBreak="0">
    <w:nsid w:val="34241724"/>
    <w:multiLevelType w:val="hybridMultilevel"/>
    <w:tmpl w:val="BFC6C306"/>
    <w:lvl w:ilvl="0" w:tplc="8A2ADDBA">
      <w:start w:val="2"/>
      <w:numFmt w:val="taiwaneseCountingThousand"/>
      <w:lvlText w:val="%1、"/>
      <w:lvlJc w:val="left"/>
      <w:pPr>
        <w:tabs>
          <w:tab w:val="num" w:pos="456"/>
        </w:tabs>
        <w:ind w:left="456" w:hanging="45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474D3E"/>
    <w:multiLevelType w:val="hybridMultilevel"/>
    <w:tmpl w:val="69A8AF0E"/>
    <w:lvl w:ilvl="0" w:tplc="9184D73A">
      <w:start w:val="2"/>
      <w:numFmt w:val="taiwaneseCountingThousand"/>
      <w:lvlText w:val="%1、"/>
      <w:lvlJc w:val="left"/>
      <w:pPr>
        <w:tabs>
          <w:tab w:val="num" w:pos="456"/>
        </w:tabs>
        <w:ind w:left="456" w:hanging="45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76D5911"/>
    <w:multiLevelType w:val="singleLevel"/>
    <w:tmpl w:val="43D83428"/>
    <w:lvl w:ilvl="0">
      <w:start w:val="86"/>
      <w:numFmt w:val="decimal"/>
      <w:lvlText w:val="%1."/>
      <w:legacy w:legacy="1" w:legacySpace="0" w:legacyIndent="312"/>
      <w:lvlJc w:val="left"/>
      <w:pPr>
        <w:ind w:left="312" w:hanging="312"/>
      </w:pPr>
      <w:rPr>
        <w:rFonts w:ascii="華康中楷體" w:eastAsia="華康中楷體" w:hint="eastAsia"/>
        <w:b w:val="0"/>
        <w:i w:val="0"/>
        <w:sz w:val="20"/>
        <w:u w:val="none"/>
      </w:rPr>
    </w:lvl>
  </w:abstractNum>
  <w:abstractNum w:abstractNumId="14" w15:restartNumberingAfterBreak="0">
    <w:nsid w:val="503726F5"/>
    <w:multiLevelType w:val="singleLevel"/>
    <w:tmpl w:val="79F06420"/>
    <w:lvl w:ilvl="0">
      <w:start w:val="1"/>
      <w:numFmt w:val="decimal"/>
      <w:lvlText w:val="%1."/>
      <w:legacy w:legacy="1" w:legacySpace="0" w:legacyIndent="288"/>
      <w:lvlJc w:val="left"/>
      <w:pPr>
        <w:ind w:left="288" w:hanging="288"/>
      </w:pPr>
      <w:rPr>
        <w:rFonts w:ascii="華康中楷體" w:eastAsia="華康中楷體" w:hint="eastAsia"/>
        <w:b w:val="0"/>
        <w:i w:val="0"/>
        <w:sz w:val="28"/>
        <w:u w:val="none"/>
      </w:rPr>
    </w:lvl>
  </w:abstractNum>
  <w:abstractNum w:abstractNumId="15" w15:restartNumberingAfterBreak="0">
    <w:nsid w:val="55AA1D91"/>
    <w:multiLevelType w:val="singleLevel"/>
    <w:tmpl w:val="EF0EA3F6"/>
    <w:lvl w:ilvl="0">
      <w:start w:val="1"/>
      <w:numFmt w:val="decimal"/>
      <w:lvlText w:val="%1."/>
      <w:lvlJc w:val="left"/>
      <w:pPr>
        <w:tabs>
          <w:tab w:val="num" w:pos="330"/>
        </w:tabs>
        <w:ind w:left="330" w:hanging="330"/>
      </w:pPr>
      <w:rPr>
        <w:rFonts w:hint="default"/>
        <w:sz w:val="32"/>
      </w:rPr>
    </w:lvl>
  </w:abstractNum>
  <w:abstractNum w:abstractNumId="16" w15:restartNumberingAfterBreak="0">
    <w:nsid w:val="5CAA35F9"/>
    <w:multiLevelType w:val="singleLevel"/>
    <w:tmpl w:val="BABC708C"/>
    <w:lvl w:ilvl="0">
      <w:start w:val="1"/>
      <w:numFmt w:val="decimal"/>
      <w:lvlText w:val="%1."/>
      <w:legacy w:legacy="1" w:legacySpace="0" w:legacyIndent="290"/>
      <w:lvlJc w:val="left"/>
      <w:pPr>
        <w:ind w:left="928" w:hanging="290"/>
      </w:pPr>
      <w:rPr>
        <w:rFonts w:ascii="華康中楷體" w:eastAsia="華康中楷體" w:hint="eastAsia"/>
        <w:b w:val="0"/>
        <w:i w:val="0"/>
        <w:sz w:val="28"/>
        <w:u w:val="none"/>
      </w:rPr>
    </w:lvl>
  </w:abstractNum>
  <w:abstractNum w:abstractNumId="17" w15:restartNumberingAfterBreak="0">
    <w:nsid w:val="6432120E"/>
    <w:multiLevelType w:val="hybridMultilevel"/>
    <w:tmpl w:val="E65611A6"/>
    <w:lvl w:ilvl="0" w:tplc="FA4E0ED8">
      <w:start w:val="1"/>
      <w:numFmt w:val="decimal"/>
      <w:suff w:val="space"/>
      <w:lvlText w:val="(%1)"/>
      <w:lvlJc w:val="left"/>
      <w:pPr>
        <w:ind w:left="1755" w:hanging="315"/>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8" w15:restartNumberingAfterBreak="0">
    <w:nsid w:val="783D13EA"/>
    <w:multiLevelType w:val="hybridMultilevel"/>
    <w:tmpl w:val="B5309916"/>
    <w:lvl w:ilvl="0" w:tplc="DF86C0EE">
      <w:start w:val="3"/>
      <w:numFmt w:val="taiwaneseCountingThousand"/>
      <w:lvlText w:val="%1、"/>
      <w:lvlJc w:val="left"/>
      <w:pPr>
        <w:tabs>
          <w:tab w:val="num" w:pos="570"/>
        </w:tabs>
        <w:ind w:left="570" w:hanging="570"/>
      </w:pPr>
      <w:rPr>
        <w:rFonts w:hint="eastAsia"/>
      </w:rPr>
    </w:lvl>
    <w:lvl w:ilvl="1" w:tplc="67B03986">
      <w:start w:val="1"/>
      <w:numFmt w:val="decimal"/>
      <w:suff w:val="space"/>
      <w:lvlText w:val="%2."/>
      <w:lvlJc w:val="left"/>
      <w:pPr>
        <w:ind w:left="765" w:hanging="285"/>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941147B"/>
    <w:multiLevelType w:val="hybridMultilevel"/>
    <w:tmpl w:val="B73275DE"/>
    <w:lvl w:ilvl="0" w:tplc="0409000F">
      <w:start w:val="1"/>
      <w:numFmt w:val="decimal"/>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num w:numId="1">
    <w:abstractNumId w:val="13"/>
  </w:num>
  <w:num w:numId="2">
    <w:abstractNumId w:val="13"/>
    <w:lvlOverride w:ilvl="0">
      <w:lvl w:ilvl="0">
        <w:start w:val="87"/>
        <w:numFmt w:val="decimal"/>
        <w:lvlText w:val="%1."/>
        <w:legacy w:legacy="1" w:legacySpace="0" w:legacyIndent="300"/>
        <w:lvlJc w:val="left"/>
        <w:pPr>
          <w:ind w:left="610" w:hanging="300"/>
        </w:pPr>
        <w:rPr>
          <w:rFonts w:ascii="華康中楷體" w:eastAsia="華康中楷體" w:hint="eastAsia"/>
          <w:b w:val="0"/>
          <w:i w:val="0"/>
          <w:sz w:val="20"/>
          <w:u w:val="none"/>
        </w:rPr>
      </w:lvl>
    </w:lvlOverride>
  </w:num>
  <w:num w:numId="3">
    <w:abstractNumId w:val="4"/>
  </w:num>
  <w:num w:numId="4">
    <w:abstractNumId w:val="8"/>
  </w:num>
  <w:num w:numId="5">
    <w:abstractNumId w:val="16"/>
  </w:num>
  <w:num w:numId="6">
    <w:abstractNumId w:val="16"/>
    <w:lvlOverride w:ilvl="0">
      <w:lvl w:ilvl="0">
        <w:start w:val="2"/>
        <w:numFmt w:val="decimal"/>
        <w:lvlText w:val="%1."/>
        <w:legacy w:legacy="1" w:legacySpace="0" w:legacyIndent="280"/>
        <w:lvlJc w:val="left"/>
        <w:pPr>
          <w:ind w:left="898" w:hanging="280"/>
        </w:pPr>
        <w:rPr>
          <w:rFonts w:ascii="華康中楷體" w:eastAsia="華康中楷體" w:hint="eastAsia"/>
          <w:b w:val="0"/>
          <w:i w:val="0"/>
          <w:sz w:val="28"/>
          <w:u w:val="none"/>
        </w:rPr>
      </w:lvl>
    </w:lvlOverride>
  </w:num>
  <w:num w:numId="7">
    <w:abstractNumId w:val="2"/>
  </w:num>
  <w:num w:numId="8">
    <w:abstractNumId w:val="14"/>
  </w:num>
  <w:num w:numId="9">
    <w:abstractNumId w:val="0"/>
    <w:lvlOverride w:ilvl="0">
      <w:lvl w:ilvl="0">
        <w:start w:val="1"/>
        <w:numFmt w:val="bullet"/>
        <w:lvlText w:val="※"/>
        <w:legacy w:legacy="1" w:legacySpace="0" w:legacyIndent="288"/>
        <w:lvlJc w:val="left"/>
        <w:pPr>
          <w:ind w:left="288" w:hanging="288"/>
        </w:pPr>
        <w:rPr>
          <w:rFonts w:ascii="華康中楷體" w:eastAsia="華康中楷體" w:hint="eastAsia"/>
          <w:b w:val="0"/>
          <w:i w:val="0"/>
          <w:sz w:val="28"/>
          <w:u w:val="none"/>
        </w:rPr>
      </w:lvl>
    </w:lvlOverride>
  </w:num>
  <w:num w:numId="10">
    <w:abstractNumId w:val="10"/>
  </w:num>
  <w:num w:numId="11">
    <w:abstractNumId w:val="18"/>
  </w:num>
  <w:num w:numId="12">
    <w:abstractNumId w:val="15"/>
  </w:num>
  <w:num w:numId="13">
    <w:abstractNumId w:val="7"/>
  </w:num>
  <w:num w:numId="14">
    <w:abstractNumId w:val="17"/>
  </w:num>
  <w:num w:numId="15">
    <w:abstractNumId w:val="5"/>
  </w:num>
  <w:num w:numId="16">
    <w:abstractNumId w:val="3"/>
  </w:num>
  <w:num w:numId="17">
    <w:abstractNumId w:val="6"/>
  </w:num>
  <w:num w:numId="18">
    <w:abstractNumId w:val="11"/>
  </w:num>
  <w:num w:numId="19">
    <w:abstractNumId w:val="12"/>
  </w:num>
  <w:num w:numId="20">
    <w:abstractNumId w:val="9"/>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CC"/>
    <w:rsid w:val="000108AE"/>
    <w:rsid w:val="00080A21"/>
    <w:rsid w:val="000E71E7"/>
    <w:rsid w:val="001628C3"/>
    <w:rsid w:val="00261B28"/>
    <w:rsid w:val="003660C5"/>
    <w:rsid w:val="00370804"/>
    <w:rsid w:val="003841E3"/>
    <w:rsid w:val="004636A3"/>
    <w:rsid w:val="004A0EFF"/>
    <w:rsid w:val="004D38E2"/>
    <w:rsid w:val="005218C6"/>
    <w:rsid w:val="00574AFA"/>
    <w:rsid w:val="00593D47"/>
    <w:rsid w:val="005B2F0E"/>
    <w:rsid w:val="00773D9E"/>
    <w:rsid w:val="007B5CF9"/>
    <w:rsid w:val="007D5BF4"/>
    <w:rsid w:val="007E2486"/>
    <w:rsid w:val="007F08F6"/>
    <w:rsid w:val="0080684C"/>
    <w:rsid w:val="00866560"/>
    <w:rsid w:val="009171EC"/>
    <w:rsid w:val="00993A99"/>
    <w:rsid w:val="009B00BB"/>
    <w:rsid w:val="00CC26CC"/>
    <w:rsid w:val="00CF7F83"/>
    <w:rsid w:val="00D44735"/>
    <w:rsid w:val="00D848C6"/>
    <w:rsid w:val="00DA21C9"/>
    <w:rsid w:val="00DD387F"/>
    <w:rsid w:val="00E124E9"/>
    <w:rsid w:val="00EA7CF1"/>
    <w:rsid w:val="00EF0B9D"/>
    <w:rsid w:val="00F33914"/>
    <w:rsid w:val="00FC5148"/>
    <w:rsid w:val="00FC744A"/>
    <w:rsid w:val="00FD662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1370F"/>
  <w15:chartTrackingRefBased/>
  <w15:docId w15:val="{BC3F6B16-7278-4BB5-938A-B827DB7B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488"/>
      </w:tabs>
      <w:spacing w:line="0" w:lineRule="atLeast"/>
      <w:ind w:left="488" w:right="152" w:hanging="360"/>
      <w:jc w:val="both"/>
    </w:pPr>
    <w:rPr>
      <w:rFonts w:eastAsia="標楷體"/>
      <w:sz w:val="28"/>
    </w:rPr>
  </w:style>
  <w:style w:type="paragraph" w:styleId="2">
    <w:name w:val="Body Text Indent 2"/>
    <w:basedOn w:val="a"/>
    <w:pPr>
      <w:snapToGrid w:val="0"/>
      <w:spacing w:line="240" w:lineRule="auto"/>
      <w:ind w:leftChars="500" w:left="1980" w:hangingChars="300" w:hanging="780"/>
    </w:pPr>
    <w:rPr>
      <w:rFonts w:eastAsia="標楷體"/>
      <w:kern w:val="2"/>
      <w:sz w:val="26"/>
    </w:rPr>
  </w:style>
  <w:style w:type="paragraph" w:styleId="a4">
    <w:name w:val="Date"/>
    <w:basedOn w:val="a"/>
    <w:next w:val="a"/>
    <w:pPr>
      <w:jc w:val="right"/>
    </w:pPr>
    <w:rPr>
      <w:b/>
      <w:bCs/>
    </w:rPr>
  </w:style>
  <w:style w:type="paragraph" w:styleId="a5">
    <w:name w:val="Balloon Text"/>
    <w:basedOn w:val="a"/>
    <w:semiHidden/>
    <w:rPr>
      <w:rFonts w:ascii="Arial" w:hAnsi="Arial"/>
      <w:sz w:val="18"/>
      <w:szCs w:val="18"/>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List Paragraph"/>
    <w:basedOn w:val="a"/>
    <w:uiPriority w:val="34"/>
    <w:qFormat/>
    <w:rsid w:val="00FD662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Leu\&#21338;&#22763;&#29677;&#33521;&#35486;&#33021;&#21147;&#28204;&#39511;\&#21338;&#22763;&#29677;&#33521;&#35486;&#33021;&#21147;&#28204;&#39511;&#36774;&#27861;_87.4.21(R)&#20462;&#2749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博士班英語能力測驗辦法_87.4.21(R)修正</Template>
  <TotalTime>13</TotalTime>
  <Pages>2</Pages>
  <Words>367</Words>
  <Characters>2098</Characters>
  <Application>Microsoft Office Word</Application>
  <DocSecurity>0</DocSecurity>
  <Lines>17</Lines>
  <Paragraphs>4</Paragraphs>
  <ScaleCrop>false</ScaleCrop>
  <Company>公司名稱未知</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電機資訊學院博士班學生英語能力測驗辦法</dc:title>
  <dc:subject/>
  <dc:creator>Super Nova</dc:creator>
  <cp:keywords/>
  <cp:lastModifiedBy>user</cp:lastModifiedBy>
  <cp:revision>10</cp:revision>
  <cp:lastPrinted>2008-10-07T03:05:00Z</cp:lastPrinted>
  <dcterms:created xsi:type="dcterms:W3CDTF">2022-07-05T09:49:00Z</dcterms:created>
  <dcterms:modified xsi:type="dcterms:W3CDTF">2022-08-03T08:26:00Z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-662138153</vt:i4>
  </property>
  <property fmtid="{D5CDD505-2E9C-101B-9397-08002B2CF9AE}" pid="3" name="_EmailSubject">
    <vt:lpwstr>工學院博士班學生英語能力測驗辦法</vt:lpwstr>
  </property>
  <property fmtid="{D5CDD505-2E9C-101B-9397-08002B2CF9AE}" pid="4" name="_AuthorEmail">
    <vt:lpwstr>hlbai@mail.nctu.edu.tw</vt:lpwstr>
  </property>
  <property fmtid="{D5CDD505-2E9C-101B-9397-08002B2CF9AE}" pid="5" name="_AuthorEmailDisplayName">
    <vt:lpwstr>Hsunling Bai</vt:lpwstr>
  </property>
  <property fmtid="{D5CDD505-2E9C-101B-9397-08002B2CF9AE}" pid="6" name="_PreviousAdHocReviewCycleID">
    <vt:i4>427256270</vt:i4>
  </property>
  <property fmtid="{D5CDD505-2E9C-101B-9397-08002B2CF9AE}" pid="7" name="_ReviewingToolsShownOnce">
    <vt:lpwstr/>
  </property>
</Properties>
</file>