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80" w:type="dxa"/>
        <w:tblInd w:w="1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0"/>
      </w:tblGrid>
      <w:tr w:rsidR="004A6E1F" w:rsidTr="004A6E1F">
        <w:trPr>
          <w:trHeight w:val="1069"/>
        </w:trPr>
        <w:tc>
          <w:tcPr>
            <w:tcW w:w="7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E1F" w:rsidRDefault="004A6E1F" w:rsidP="0023277F">
            <w:pPr>
              <w:tabs>
                <w:tab w:val="left" w:pos="1080"/>
                <w:tab w:val="left" w:pos="9720"/>
              </w:tabs>
              <w:snapToGrid w:val="0"/>
              <w:spacing w:line="240" w:lineRule="auto"/>
              <w:jc w:val="center"/>
            </w:pPr>
            <w:r>
              <w:rPr>
                <w:rFonts w:eastAsia="標楷體"/>
                <w:b/>
                <w:sz w:val="32"/>
              </w:rPr>
              <w:t>Department of Civil Engineering</w:t>
            </w:r>
          </w:p>
          <w:p w:rsidR="004A6E1F" w:rsidRDefault="004A6E1F" w:rsidP="0023277F">
            <w:pPr>
              <w:tabs>
                <w:tab w:val="left" w:pos="1080"/>
                <w:tab w:val="left" w:pos="9720"/>
              </w:tabs>
              <w:snapToGrid w:val="0"/>
              <w:spacing w:line="240" w:lineRule="auto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National Yang Ming Chiao Tung University</w:t>
            </w:r>
          </w:p>
        </w:tc>
      </w:tr>
    </w:tbl>
    <w:p w:rsidR="00794C66" w:rsidRDefault="00794C66" w:rsidP="00323DCC">
      <w:pPr>
        <w:pStyle w:val="Default"/>
        <w:rPr>
          <w:b/>
          <w:bCs/>
          <w:sz w:val="32"/>
          <w:szCs w:val="32"/>
        </w:rPr>
      </w:pPr>
    </w:p>
    <w:p w:rsidR="00773764" w:rsidRDefault="00DF4751" w:rsidP="00773764">
      <w:pPr>
        <w:pStyle w:val="Default"/>
        <w:ind w:rightChars="299" w:right="718"/>
        <w:jc w:val="center"/>
        <w:rPr>
          <w:sz w:val="32"/>
          <w:szCs w:val="32"/>
        </w:rPr>
      </w:pPr>
      <w:r w:rsidRPr="00773764">
        <w:rPr>
          <w:b/>
          <w:bCs/>
          <w:sz w:val="32"/>
          <w:szCs w:val="32"/>
        </w:rPr>
        <w:t>Regulations of PhD Qualifying Written Examination</w:t>
      </w:r>
    </w:p>
    <w:p w:rsidR="00773764" w:rsidRPr="00794C66" w:rsidRDefault="00DF4751" w:rsidP="00794C66">
      <w:pPr>
        <w:pStyle w:val="Default"/>
        <w:ind w:rightChars="299" w:right="718"/>
        <w:jc w:val="center"/>
        <w:rPr>
          <w:sz w:val="32"/>
          <w:szCs w:val="32"/>
        </w:rPr>
      </w:pPr>
      <w:r w:rsidRPr="00773764">
        <w:rPr>
          <w:b/>
          <w:bCs/>
          <w:sz w:val="32"/>
          <w:szCs w:val="32"/>
        </w:rPr>
        <w:t>International Graduate Program in Civil Engineering</w:t>
      </w:r>
    </w:p>
    <w:p w:rsidR="00773764" w:rsidRPr="00AA25C6" w:rsidRDefault="00773764" w:rsidP="005E629F">
      <w:pPr>
        <w:pStyle w:val="Default"/>
        <w:ind w:rightChars="299" w:right="718"/>
        <w:jc w:val="center"/>
        <w:rPr>
          <w:b/>
          <w:bCs/>
          <w:color w:val="auto"/>
          <w:sz w:val="32"/>
          <w:szCs w:val="32"/>
        </w:rPr>
      </w:pPr>
    </w:p>
    <w:p w:rsidR="00773764" w:rsidRPr="00AA25C6" w:rsidRDefault="00773764" w:rsidP="00773764">
      <w:pPr>
        <w:pStyle w:val="Default"/>
        <w:wordWrap w:val="0"/>
        <w:ind w:rightChars="240" w:right="576"/>
        <w:jc w:val="right"/>
        <w:rPr>
          <w:color w:val="auto"/>
          <w:sz w:val="16"/>
          <w:szCs w:val="16"/>
        </w:rPr>
      </w:pPr>
      <w:r w:rsidRPr="00AA25C6">
        <w:rPr>
          <w:color w:val="auto"/>
          <w:sz w:val="16"/>
          <w:szCs w:val="16"/>
        </w:rPr>
        <w:t>Promulgated by the International Graduate Program Committee, October 2, 2018</w:t>
      </w:r>
    </w:p>
    <w:p w:rsidR="00773764" w:rsidRPr="00AA25C6" w:rsidRDefault="00773764" w:rsidP="00773764">
      <w:pPr>
        <w:pStyle w:val="Default"/>
        <w:wordWrap w:val="0"/>
        <w:ind w:rightChars="240" w:right="576"/>
        <w:jc w:val="right"/>
        <w:rPr>
          <w:color w:val="auto"/>
          <w:sz w:val="16"/>
          <w:szCs w:val="16"/>
        </w:rPr>
      </w:pPr>
      <w:r w:rsidRPr="00AA25C6">
        <w:rPr>
          <w:color w:val="auto"/>
          <w:sz w:val="16"/>
          <w:szCs w:val="16"/>
        </w:rPr>
        <w:t>Amended by the International Graduate Program Committee, January 10, 2020</w:t>
      </w:r>
    </w:p>
    <w:p w:rsidR="00DF4751" w:rsidRPr="00AA25C6" w:rsidRDefault="00DF4751" w:rsidP="005E629F">
      <w:pPr>
        <w:pStyle w:val="Default"/>
        <w:spacing w:beforeLines="100" w:before="240" w:afterLines="100" w:after="240"/>
        <w:ind w:rightChars="299" w:right="718"/>
        <w:jc w:val="both"/>
        <w:rPr>
          <w:color w:val="auto"/>
          <w:sz w:val="28"/>
          <w:szCs w:val="28"/>
        </w:rPr>
      </w:pPr>
      <w:r w:rsidRPr="00AA25C6">
        <w:rPr>
          <w:color w:val="auto"/>
          <w:sz w:val="23"/>
          <w:szCs w:val="23"/>
        </w:rPr>
        <w:t xml:space="preserve">1. </w:t>
      </w:r>
      <w:r w:rsidRPr="00AA25C6">
        <w:rPr>
          <w:color w:val="auto"/>
          <w:sz w:val="28"/>
          <w:szCs w:val="28"/>
        </w:rPr>
        <w:t>PhD student</w:t>
      </w:r>
      <w:r w:rsidRPr="00AA25C6">
        <w:rPr>
          <w:rFonts w:hint="eastAsia"/>
          <w:color w:val="auto"/>
          <w:sz w:val="28"/>
          <w:szCs w:val="28"/>
        </w:rPr>
        <w:t>s</w:t>
      </w:r>
      <w:r w:rsidRPr="00AA25C6">
        <w:rPr>
          <w:color w:val="auto"/>
          <w:sz w:val="28"/>
          <w:szCs w:val="28"/>
        </w:rPr>
        <w:t xml:space="preserve"> must, with the approval of their advisor, select three courses as their qualifying subjects before the end of the first semester after enrollment. (If qualifying subjects change needed, PhD student</w:t>
      </w:r>
      <w:r w:rsidR="00323DCC" w:rsidRPr="00AA25C6">
        <w:rPr>
          <w:color w:val="auto"/>
          <w:sz w:val="28"/>
          <w:szCs w:val="28"/>
        </w:rPr>
        <w:t>s</w:t>
      </w:r>
      <w:r w:rsidRPr="00AA25C6">
        <w:rPr>
          <w:color w:val="auto"/>
          <w:sz w:val="28"/>
          <w:szCs w:val="28"/>
        </w:rPr>
        <w:t xml:space="preserve"> must get approval from the</w:t>
      </w:r>
      <w:r w:rsidR="00323DCC" w:rsidRPr="00AA25C6">
        <w:rPr>
          <w:color w:val="auto"/>
          <w:sz w:val="28"/>
          <w:szCs w:val="28"/>
        </w:rPr>
        <w:t>ir</w:t>
      </w:r>
      <w:r w:rsidRPr="00AA25C6">
        <w:rPr>
          <w:color w:val="auto"/>
          <w:sz w:val="28"/>
          <w:szCs w:val="28"/>
        </w:rPr>
        <w:t xml:space="preserve"> advisor and department chairman then proceed </w:t>
      </w:r>
      <w:r w:rsidR="00323DCC" w:rsidRPr="00AA25C6">
        <w:rPr>
          <w:color w:val="auto"/>
          <w:sz w:val="28"/>
          <w:szCs w:val="28"/>
        </w:rPr>
        <w:t xml:space="preserve">the </w:t>
      </w:r>
      <w:r w:rsidRPr="00AA25C6">
        <w:rPr>
          <w:color w:val="auto"/>
          <w:sz w:val="28"/>
          <w:szCs w:val="28"/>
        </w:rPr>
        <w:t>application</w:t>
      </w:r>
      <w:bookmarkStart w:id="0" w:name="_GoBack"/>
      <w:bookmarkEnd w:id="0"/>
      <w:r w:rsidRPr="00AA25C6">
        <w:rPr>
          <w:color w:val="auto"/>
          <w:sz w:val="28"/>
          <w:szCs w:val="28"/>
        </w:rPr>
        <w:t xml:space="preserve">.) </w:t>
      </w:r>
    </w:p>
    <w:p w:rsidR="00DF4751" w:rsidRPr="00AA25C6" w:rsidRDefault="00DF4751" w:rsidP="007B1263">
      <w:pPr>
        <w:pStyle w:val="Default"/>
        <w:spacing w:beforeLines="100" w:before="240" w:afterLines="100" w:after="240"/>
        <w:ind w:rightChars="299" w:right="718"/>
        <w:jc w:val="both"/>
        <w:rPr>
          <w:color w:val="auto"/>
          <w:sz w:val="28"/>
          <w:szCs w:val="28"/>
        </w:rPr>
      </w:pPr>
      <w:r w:rsidRPr="00AA25C6">
        <w:rPr>
          <w:color w:val="auto"/>
          <w:sz w:val="23"/>
          <w:szCs w:val="23"/>
        </w:rPr>
        <w:t xml:space="preserve">2. </w:t>
      </w:r>
      <w:r w:rsidRPr="00AA25C6">
        <w:rPr>
          <w:color w:val="auto"/>
          <w:sz w:val="28"/>
          <w:szCs w:val="28"/>
        </w:rPr>
        <w:t xml:space="preserve">PhD students are considered to pass the qualifying subjects if their grades are </w:t>
      </w:r>
      <w:r w:rsidR="007B1263" w:rsidRPr="00AA25C6">
        <w:rPr>
          <w:rFonts w:hint="eastAsia"/>
          <w:color w:val="auto"/>
          <w:sz w:val="28"/>
          <w:szCs w:val="28"/>
        </w:rPr>
        <w:t xml:space="preserve">80 </w:t>
      </w:r>
      <w:r w:rsidR="007B1263" w:rsidRPr="00AA25C6">
        <w:rPr>
          <w:color w:val="auto"/>
          <w:sz w:val="28"/>
          <w:szCs w:val="28"/>
        </w:rPr>
        <w:t xml:space="preserve">(or above) or </w:t>
      </w:r>
      <w:r w:rsidR="00323DCC" w:rsidRPr="00AA25C6">
        <w:rPr>
          <w:color w:val="auto"/>
          <w:sz w:val="28"/>
          <w:szCs w:val="28"/>
        </w:rPr>
        <w:t>in</w:t>
      </w:r>
      <w:r w:rsidRPr="00AA25C6">
        <w:rPr>
          <w:color w:val="auto"/>
          <w:sz w:val="28"/>
          <w:szCs w:val="28"/>
        </w:rPr>
        <w:t xml:space="preserve"> </w:t>
      </w:r>
      <w:r w:rsidR="00431E42" w:rsidRPr="00AA25C6">
        <w:rPr>
          <w:color w:val="auto"/>
          <w:sz w:val="28"/>
          <w:szCs w:val="28"/>
        </w:rPr>
        <w:t xml:space="preserve">the first </w:t>
      </w:r>
      <w:r w:rsidR="009F514F" w:rsidRPr="00AA25C6">
        <w:rPr>
          <w:rFonts w:hint="eastAsia"/>
          <w:color w:val="auto"/>
          <w:sz w:val="28"/>
          <w:szCs w:val="28"/>
        </w:rPr>
        <w:t>5</w:t>
      </w:r>
      <w:r w:rsidR="009F514F" w:rsidRPr="00AA25C6">
        <w:rPr>
          <w:color w:val="auto"/>
          <w:sz w:val="28"/>
          <w:szCs w:val="28"/>
        </w:rPr>
        <w:t>0</w:t>
      </w:r>
      <w:r w:rsidRPr="00AA25C6">
        <w:rPr>
          <w:color w:val="auto"/>
          <w:sz w:val="28"/>
          <w:szCs w:val="28"/>
        </w:rPr>
        <w:t>th</w:t>
      </w:r>
      <w:r w:rsidR="007B1263" w:rsidRPr="00AA25C6">
        <w:rPr>
          <w:color w:val="auto"/>
          <w:sz w:val="28"/>
          <w:szCs w:val="28"/>
        </w:rPr>
        <w:t xml:space="preserve"> percentile </w:t>
      </w:r>
      <w:r w:rsidRPr="00AA25C6">
        <w:rPr>
          <w:color w:val="auto"/>
          <w:sz w:val="28"/>
          <w:szCs w:val="28"/>
        </w:rPr>
        <w:t>of the students who pass the subjects (if less than five students registered the course, the course instructor shall provide recommendations for the student’s overall perf</w:t>
      </w:r>
      <w:r w:rsidR="007B1263" w:rsidRPr="00AA25C6">
        <w:rPr>
          <w:color w:val="auto"/>
          <w:sz w:val="28"/>
          <w:szCs w:val="28"/>
        </w:rPr>
        <w:t>ormance. The committee of Inter</w:t>
      </w:r>
      <w:r w:rsidRPr="00AA25C6">
        <w:rPr>
          <w:color w:val="auto"/>
          <w:sz w:val="28"/>
          <w:szCs w:val="28"/>
        </w:rPr>
        <w:t xml:space="preserve">national Graduate Program will then conclude whether the student shall pass that subject area of the qualifying examination upon the recommendations of the course instructor). </w:t>
      </w:r>
    </w:p>
    <w:p w:rsidR="00DF4751" w:rsidRPr="00AA25C6" w:rsidRDefault="00DF4751" w:rsidP="005E629F">
      <w:pPr>
        <w:pStyle w:val="Default"/>
        <w:spacing w:beforeLines="100" w:before="240" w:afterLines="100" w:after="240"/>
        <w:ind w:rightChars="299" w:right="718"/>
        <w:jc w:val="both"/>
        <w:rPr>
          <w:color w:val="auto"/>
          <w:sz w:val="28"/>
          <w:szCs w:val="28"/>
        </w:rPr>
      </w:pPr>
      <w:r w:rsidRPr="00AA25C6">
        <w:rPr>
          <w:color w:val="auto"/>
          <w:sz w:val="23"/>
          <w:szCs w:val="23"/>
        </w:rPr>
        <w:t xml:space="preserve">3. </w:t>
      </w:r>
      <w:r w:rsidRPr="00AA25C6">
        <w:rPr>
          <w:color w:val="auto"/>
          <w:sz w:val="28"/>
          <w:szCs w:val="28"/>
        </w:rPr>
        <w:t xml:space="preserve">Students </w:t>
      </w:r>
      <w:r w:rsidR="00323DCC" w:rsidRPr="00AA25C6">
        <w:rPr>
          <w:color w:val="auto"/>
          <w:sz w:val="28"/>
          <w:szCs w:val="28"/>
        </w:rPr>
        <w:t xml:space="preserve">who </w:t>
      </w:r>
      <w:r w:rsidRPr="00AA25C6">
        <w:rPr>
          <w:color w:val="auto"/>
          <w:sz w:val="28"/>
          <w:szCs w:val="28"/>
        </w:rPr>
        <w:t xml:space="preserve">get direct admission into doctoral program, with the approval of their advisor, may be exempt from one qualifying subject which they completed in their master program, receiving a score </w:t>
      </w:r>
      <w:r w:rsidR="007A2E06" w:rsidRPr="00AA25C6">
        <w:rPr>
          <w:color w:val="auto"/>
          <w:sz w:val="28"/>
          <w:szCs w:val="28"/>
        </w:rPr>
        <w:t xml:space="preserve">of 80 (or above) or </w:t>
      </w:r>
      <w:r w:rsidRPr="00AA25C6">
        <w:rPr>
          <w:color w:val="auto"/>
          <w:sz w:val="28"/>
          <w:szCs w:val="28"/>
        </w:rPr>
        <w:t xml:space="preserve">in the </w:t>
      </w:r>
      <w:r w:rsidR="00431E42" w:rsidRPr="00AA25C6">
        <w:rPr>
          <w:color w:val="auto"/>
          <w:sz w:val="28"/>
          <w:szCs w:val="28"/>
        </w:rPr>
        <w:t xml:space="preserve">first </w:t>
      </w:r>
      <w:r w:rsidR="009F514F" w:rsidRPr="00AA25C6">
        <w:rPr>
          <w:color w:val="auto"/>
          <w:sz w:val="28"/>
          <w:szCs w:val="28"/>
        </w:rPr>
        <w:t>5</w:t>
      </w:r>
      <w:r w:rsidRPr="00AA25C6">
        <w:rPr>
          <w:color w:val="auto"/>
          <w:sz w:val="28"/>
          <w:szCs w:val="28"/>
        </w:rPr>
        <w:t>0th percentile of those</w:t>
      </w:r>
      <w:r w:rsidR="000C3605" w:rsidRPr="00AA25C6">
        <w:rPr>
          <w:color w:val="auto"/>
          <w:sz w:val="28"/>
          <w:szCs w:val="28"/>
        </w:rPr>
        <w:t xml:space="preserve"> who</w:t>
      </w:r>
      <w:r w:rsidRPr="00AA25C6">
        <w:rPr>
          <w:color w:val="auto"/>
          <w:sz w:val="28"/>
          <w:szCs w:val="28"/>
        </w:rPr>
        <w:t xml:space="preserve"> passed the course.</w:t>
      </w:r>
    </w:p>
    <w:p w:rsidR="0071674A" w:rsidRDefault="0071674A"/>
    <w:sectPr w:rsidR="0071674A" w:rsidSect="00DE724B">
      <w:pgSz w:w="11906" w:h="16838" w:code="9"/>
      <w:pgMar w:top="1351" w:right="450" w:bottom="1440" w:left="138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83" w:rsidRDefault="004D2883" w:rsidP="005E629F">
      <w:r>
        <w:separator/>
      </w:r>
    </w:p>
  </w:endnote>
  <w:endnote w:type="continuationSeparator" w:id="0">
    <w:p w:rsidR="004D2883" w:rsidRDefault="004D2883" w:rsidP="005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83" w:rsidRDefault="004D2883" w:rsidP="005E629F">
      <w:r>
        <w:separator/>
      </w:r>
    </w:p>
  </w:footnote>
  <w:footnote w:type="continuationSeparator" w:id="0">
    <w:p w:rsidR="004D2883" w:rsidRDefault="004D2883" w:rsidP="005E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1"/>
    <w:rsid w:val="000C3605"/>
    <w:rsid w:val="00215723"/>
    <w:rsid w:val="002374A2"/>
    <w:rsid w:val="00293C74"/>
    <w:rsid w:val="003213D8"/>
    <w:rsid w:val="00323DCC"/>
    <w:rsid w:val="00336A08"/>
    <w:rsid w:val="0038082B"/>
    <w:rsid w:val="00431E42"/>
    <w:rsid w:val="004A6E1F"/>
    <w:rsid w:val="004D2883"/>
    <w:rsid w:val="004F7683"/>
    <w:rsid w:val="005234C0"/>
    <w:rsid w:val="005859DC"/>
    <w:rsid w:val="005A01F2"/>
    <w:rsid w:val="005E629F"/>
    <w:rsid w:val="00603392"/>
    <w:rsid w:val="006248BC"/>
    <w:rsid w:val="0071674A"/>
    <w:rsid w:val="007264C0"/>
    <w:rsid w:val="00773764"/>
    <w:rsid w:val="00794C66"/>
    <w:rsid w:val="007A2E06"/>
    <w:rsid w:val="007B1263"/>
    <w:rsid w:val="008F1EA9"/>
    <w:rsid w:val="009F514F"/>
    <w:rsid w:val="00AA25C6"/>
    <w:rsid w:val="00C71480"/>
    <w:rsid w:val="00DE724B"/>
    <w:rsid w:val="00DF202E"/>
    <w:rsid w:val="00DF4751"/>
    <w:rsid w:val="00EF7825"/>
    <w:rsid w:val="00F02AB0"/>
    <w:rsid w:val="00F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26D9C"/>
  <w15:chartTrackingRefBased/>
  <w15:docId w15:val="{F08BD506-6DEF-4360-AC82-6D7458D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4C66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7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629F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5E62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29F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5E62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72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72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2020-02-03T06:26:00Z</cp:lastPrinted>
  <dcterms:created xsi:type="dcterms:W3CDTF">2020-01-02T03:18:00Z</dcterms:created>
  <dcterms:modified xsi:type="dcterms:W3CDTF">2021-03-15T02:39:00Z</dcterms:modified>
</cp:coreProperties>
</file>